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40"/>
        <w:tblW w:w="0" w:type="auto"/>
        <w:tblLook w:val="04A0" w:firstRow="1" w:lastRow="0" w:firstColumn="1" w:lastColumn="0" w:noHBand="0" w:noVBand="1"/>
      </w:tblPr>
      <w:tblGrid>
        <w:gridCol w:w="2948"/>
      </w:tblGrid>
      <w:tr w:rsidR="007049D2" w14:paraId="1F686335" w14:textId="77777777" w:rsidTr="00B12C72">
        <w:tc>
          <w:tcPr>
            <w:tcW w:w="2948" w:type="dxa"/>
            <w:shd w:val="clear" w:color="auto" w:fill="auto"/>
          </w:tcPr>
          <w:p w14:paraId="375A547F" w14:textId="77777777" w:rsidR="00A57D81" w:rsidRPr="00B12C72" w:rsidRDefault="00896800" w:rsidP="00B12C72">
            <w:pPr>
              <w:tabs>
                <w:tab w:val="right" w:pos="7767"/>
              </w:tabs>
              <w:jc w:val="right"/>
              <w:rPr>
                <w:rFonts w:eastAsia="Arial Unicode MS"/>
                <w:b/>
                <w:sz w:val="24"/>
                <w:szCs w:val="24"/>
              </w:rPr>
            </w:pPr>
            <w:r>
              <w:rPr>
                <w:rFonts w:eastAsia="Arial Unicode MS"/>
                <w:b/>
                <w:sz w:val="24"/>
                <w:szCs w:val="24"/>
              </w:rPr>
              <w:t xml:space="preserve">CRI: </w:t>
            </w:r>
            <w:r>
              <w:rPr>
                <w:rFonts w:eastAsia="Arial Unicode MS"/>
                <w:b/>
                <w:noProof/>
                <w:sz w:val="24"/>
                <w:szCs w:val="24"/>
              </w:rPr>
              <w:t>2023-091-000704</w:t>
            </w:r>
          </w:p>
        </w:tc>
      </w:tr>
    </w:tbl>
    <w:p w14:paraId="02B29E48" w14:textId="77777777" w:rsidR="00A57D81" w:rsidRPr="00A17C95" w:rsidRDefault="00DC6724" w:rsidP="00DC6724">
      <w:pPr>
        <w:tabs>
          <w:tab w:val="right" w:pos="7767"/>
        </w:tabs>
        <w:rPr>
          <w:rFonts w:eastAsia="Arial Unicode MS"/>
          <w:b/>
          <w:sz w:val="24"/>
          <w:szCs w:val="24"/>
        </w:rPr>
      </w:pPr>
      <w:r w:rsidRPr="00A17C95">
        <w:rPr>
          <w:rFonts w:eastAsia="Arial Unicode MS"/>
          <w:b/>
          <w:sz w:val="24"/>
          <w:szCs w:val="24"/>
        </w:rPr>
        <w:t>IN THE DISTRICT COURT</w:t>
      </w:r>
    </w:p>
    <w:p w14:paraId="196EE236" w14:textId="77777777" w:rsidR="00DC6724" w:rsidRDefault="007F607D" w:rsidP="00A57D81">
      <w:pPr>
        <w:tabs>
          <w:tab w:val="right" w:pos="7767"/>
        </w:tabs>
        <w:rPr>
          <w:b/>
          <w:sz w:val="24"/>
          <w:szCs w:val="24"/>
        </w:rPr>
      </w:pPr>
      <w:r w:rsidRPr="00A17C95">
        <w:rPr>
          <w:b/>
          <w:sz w:val="24"/>
          <w:szCs w:val="24"/>
        </w:rPr>
        <w:t xml:space="preserve">AT </w:t>
      </w:r>
      <w:r w:rsidR="006B5B57" w:rsidRPr="00A17C95">
        <w:rPr>
          <w:b/>
          <w:noProof/>
          <w:sz w:val="24"/>
          <w:szCs w:val="24"/>
        </w:rPr>
        <w:t>PORIRUA</w:t>
      </w:r>
    </w:p>
    <w:p w14:paraId="4DE8F1FB" w14:textId="77777777" w:rsidR="00066E03" w:rsidRDefault="00066E03" w:rsidP="00A57D81">
      <w:pPr>
        <w:tabs>
          <w:tab w:val="right" w:pos="7767"/>
        </w:tabs>
        <w:rPr>
          <w:b/>
          <w:sz w:val="24"/>
          <w:szCs w:val="24"/>
        </w:rPr>
      </w:pPr>
    </w:p>
    <w:p w14:paraId="7C981C25" w14:textId="77777777" w:rsidR="00066E03" w:rsidRDefault="007F607D" w:rsidP="00A57D81">
      <w:pPr>
        <w:tabs>
          <w:tab w:val="right" w:pos="7767"/>
        </w:tabs>
        <w:rPr>
          <w:b/>
          <w:sz w:val="24"/>
          <w:szCs w:val="24"/>
        </w:rPr>
      </w:pPr>
      <w:r>
        <w:rPr>
          <w:b/>
          <w:sz w:val="24"/>
          <w:szCs w:val="24"/>
        </w:rPr>
        <w:t>I TE K</w:t>
      </w:r>
      <w:r>
        <w:rPr>
          <w:rFonts w:cs="Calibri"/>
          <w:b/>
          <w:sz w:val="24"/>
          <w:szCs w:val="24"/>
        </w:rPr>
        <w:t>Ō</w:t>
      </w:r>
      <w:r>
        <w:rPr>
          <w:b/>
          <w:sz w:val="24"/>
          <w:szCs w:val="24"/>
        </w:rPr>
        <w:t xml:space="preserve">TI </w:t>
      </w:r>
      <w:r>
        <w:rPr>
          <w:rFonts w:cs="Calibri"/>
          <w:b/>
          <w:sz w:val="24"/>
          <w:szCs w:val="24"/>
        </w:rPr>
        <w:t>Ā</w:t>
      </w:r>
      <w:r>
        <w:rPr>
          <w:b/>
          <w:sz w:val="24"/>
          <w:szCs w:val="24"/>
        </w:rPr>
        <w:t xml:space="preserve"> ROHE</w:t>
      </w:r>
    </w:p>
    <w:p w14:paraId="727CC235" w14:textId="77777777" w:rsidR="00BB750F" w:rsidRPr="00A17C95" w:rsidRDefault="00066E03" w:rsidP="00066E03">
      <w:pPr>
        <w:tabs>
          <w:tab w:val="right" w:pos="7767"/>
        </w:tabs>
        <w:rPr>
          <w:rFonts w:eastAsia="Arial Unicode MS"/>
          <w:b/>
          <w:sz w:val="24"/>
          <w:szCs w:val="24"/>
        </w:rPr>
      </w:pPr>
      <w:r>
        <w:rPr>
          <w:b/>
          <w:sz w:val="24"/>
          <w:szCs w:val="24"/>
        </w:rPr>
        <w:t xml:space="preserve">KI </w:t>
      </w:r>
      <w:r w:rsidR="0017366F">
        <w:rPr>
          <w:rFonts w:cs="Calibri"/>
          <w:b/>
          <w:sz w:val="24"/>
          <w:szCs w:val="24"/>
        </w:rPr>
        <w:t>P</w:t>
      </w:r>
      <w:r w:rsidR="00CC6CB4">
        <w:rPr>
          <w:rFonts w:cs="Calibri"/>
          <w:b/>
          <w:sz w:val="24"/>
          <w:szCs w:val="24"/>
        </w:rPr>
        <w:t>ORIRUA</w:t>
      </w:r>
    </w:p>
    <w:p w14:paraId="37335461" w14:textId="77777777" w:rsidR="00BB750F" w:rsidRDefault="00BB750F" w:rsidP="00F44500">
      <w:pPr>
        <w:rPr>
          <w:rFonts w:eastAsia="Arial Unicode MS"/>
          <w:b/>
          <w:sz w:val="24"/>
          <w:szCs w:val="24"/>
        </w:rPr>
      </w:pPr>
    </w:p>
    <w:p w14:paraId="4738E115" w14:textId="77777777" w:rsidR="000C20B3" w:rsidRPr="00A17C95" w:rsidRDefault="000C20B3" w:rsidP="00F44500">
      <w:pPr>
        <w:rPr>
          <w:rFonts w:eastAsia="Arial Unicode MS"/>
          <w:b/>
          <w:sz w:val="24"/>
          <w:szCs w:val="24"/>
        </w:rPr>
      </w:pPr>
    </w:p>
    <w:p w14:paraId="6C1FC648" w14:textId="77777777" w:rsidR="003B1649" w:rsidRPr="00A17C95" w:rsidRDefault="002F78F5" w:rsidP="003B1649">
      <w:pPr>
        <w:rPr>
          <w:rFonts w:eastAsia="Arial Unicode MS"/>
          <w:b/>
          <w:sz w:val="24"/>
          <w:szCs w:val="24"/>
        </w:rPr>
      </w:pPr>
      <w:r>
        <w:rPr>
          <w:rFonts w:eastAsia="Arial Unicode MS"/>
          <w:b/>
          <w:sz w:val="24"/>
          <w:szCs w:val="24"/>
        </w:rPr>
        <w:t xml:space="preserve">NEW ZEALAND POLICE </w:t>
      </w:r>
    </w:p>
    <w:p w14:paraId="1A06A854" w14:textId="77777777" w:rsidR="00E4610E" w:rsidRPr="00A17C95" w:rsidRDefault="00E4610E" w:rsidP="00DC6724">
      <w:pPr>
        <w:rPr>
          <w:rFonts w:eastAsia="Arial Unicode MS"/>
          <w:b/>
          <w:sz w:val="24"/>
          <w:szCs w:val="24"/>
        </w:rPr>
      </w:pPr>
    </w:p>
    <w:p w14:paraId="0C744ED9" w14:textId="77777777" w:rsidR="00E4610E" w:rsidRPr="00A17C95" w:rsidRDefault="00E4610E" w:rsidP="00DC6724">
      <w:pPr>
        <w:rPr>
          <w:rFonts w:eastAsia="Arial Unicode MS"/>
          <w:b/>
          <w:sz w:val="24"/>
          <w:szCs w:val="24"/>
        </w:rPr>
      </w:pPr>
    </w:p>
    <w:p w14:paraId="65019460" w14:textId="77777777" w:rsidR="00E4610E" w:rsidRPr="00A17C95" w:rsidRDefault="007F607D" w:rsidP="00DC6724">
      <w:pPr>
        <w:rPr>
          <w:rFonts w:eastAsia="Arial Unicode MS"/>
          <w:b/>
          <w:sz w:val="24"/>
          <w:szCs w:val="24"/>
        </w:rPr>
      </w:pPr>
      <w:r w:rsidRPr="00A17C95">
        <w:rPr>
          <w:rFonts w:eastAsia="Arial Unicode MS"/>
          <w:b/>
          <w:sz w:val="24"/>
          <w:szCs w:val="24"/>
        </w:rPr>
        <w:t>v</w:t>
      </w:r>
    </w:p>
    <w:p w14:paraId="08A613E6" w14:textId="77777777" w:rsidR="00E4610E" w:rsidRPr="00A17C95" w:rsidRDefault="00E4610E" w:rsidP="00DC6724">
      <w:pPr>
        <w:rPr>
          <w:rFonts w:eastAsia="Arial Unicode MS"/>
          <w:b/>
          <w:sz w:val="24"/>
          <w:szCs w:val="24"/>
        </w:rPr>
      </w:pPr>
    </w:p>
    <w:p w14:paraId="66561D0B" w14:textId="77777777" w:rsidR="0033622B" w:rsidRPr="00A17C95" w:rsidRDefault="0033622B" w:rsidP="00F44500">
      <w:pPr>
        <w:rPr>
          <w:rFonts w:eastAsia="Arial Unicode MS"/>
          <w:b/>
          <w:sz w:val="24"/>
          <w:szCs w:val="24"/>
        </w:rPr>
      </w:pPr>
    </w:p>
    <w:p w14:paraId="10A51B92" w14:textId="77777777" w:rsidR="003B1649" w:rsidRPr="00A17C95" w:rsidRDefault="007F607D" w:rsidP="003B1649">
      <w:pPr>
        <w:rPr>
          <w:rFonts w:eastAsia="Arial Unicode MS"/>
          <w:b/>
          <w:sz w:val="24"/>
          <w:szCs w:val="24"/>
        </w:rPr>
      </w:pPr>
      <w:r w:rsidRPr="00A17C95">
        <w:rPr>
          <w:rFonts w:eastAsia="Arial Unicode MS"/>
          <w:b/>
          <w:noProof/>
          <w:sz w:val="24"/>
          <w:szCs w:val="24"/>
        </w:rPr>
        <w:t>DAVID JEREMIAH SOLT</w:t>
      </w:r>
    </w:p>
    <w:p w14:paraId="291F6B16" w14:textId="77777777" w:rsidR="000C20B3" w:rsidRPr="00F44500" w:rsidRDefault="000C20B3" w:rsidP="00F44500">
      <w:pPr>
        <w:rPr>
          <w:rFonts w:eastAsia="Arial Unicode MS"/>
          <w:b/>
        </w:rPr>
      </w:pPr>
    </w:p>
    <w:p w14:paraId="355BE390" w14:textId="77777777" w:rsidR="00BB750F" w:rsidRPr="00F44500" w:rsidRDefault="00BB750F" w:rsidP="00F44500">
      <w:pPr>
        <w:rPr>
          <w:b/>
        </w:rPr>
      </w:pPr>
    </w:p>
    <w:p w14:paraId="2135EA79" w14:textId="77777777" w:rsidR="00F44500" w:rsidRPr="00F44500" w:rsidRDefault="00F44500" w:rsidP="00F44500">
      <w:pPr>
        <w:rPr>
          <w:b/>
        </w:rPr>
      </w:pPr>
    </w:p>
    <w:p w14:paraId="2C70F1A9" w14:textId="77777777" w:rsidR="00F44500" w:rsidRPr="00F44500" w:rsidRDefault="00F44500" w:rsidP="00F44500">
      <w:pPr>
        <w:rPr>
          <w:b/>
        </w:rPr>
      </w:pPr>
    </w:p>
    <w:p w14:paraId="03F3A1BC" w14:textId="77777777" w:rsidR="00BB750F" w:rsidRPr="00C20C24" w:rsidRDefault="007F607D" w:rsidP="00BB750F">
      <w:pPr>
        <w:rPr>
          <w:sz w:val="24"/>
          <w:szCs w:val="24"/>
        </w:rPr>
      </w:pPr>
      <w:r w:rsidRPr="00C20C24">
        <w:rPr>
          <w:sz w:val="24"/>
          <w:szCs w:val="24"/>
        </w:rPr>
        <w:t>________________________________________________________________</w:t>
      </w:r>
    </w:p>
    <w:p w14:paraId="34906BC2" w14:textId="77777777" w:rsidR="00BB750F" w:rsidRPr="00C20C24" w:rsidRDefault="00BB750F" w:rsidP="00BB750F">
      <w:pPr>
        <w:jc w:val="center"/>
        <w:rPr>
          <w:b/>
          <w:sz w:val="24"/>
          <w:szCs w:val="24"/>
        </w:rPr>
      </w:pPr>
    </w:p>
    <w:p w14:paraId="2382CFBD" w14:textId="77777777" w:rsidR="00E0665B" w:rsidRDefault="007F607D" w:rsidP="00BB750F">
      <w:pPr>
        <w:rPr>
          <w:b/>
          <w:sz w:val="24"/>
          <w:szCs w:val="24"/>
        </w:rPr>
      </w:pPr>
      <w:r>
        <w:rPr>
          <w:b/>
          <w:sz w:val="24"/>
          <w:szCs w:val="24"/>
        </w:rPr>
        <w:t>DEFENDANT’S SUBMISSIONS IN SUPPORT OF APPLICATION FOR DISCHARGE WITHOUT CONVICTION</w:t>
      </w:r>
    </w:p>
    <w:p w14:paraId="6C684C77" w14:textId="77777777" w:rsidR="00BB750F" w:rsidRPr="00E0665B" w:rsidRDefault="007F607D" w:rsidP="00BB750F">
      <w:pPr>
        <w:rPr>
          <w:b/>
          <w:sz w:val="24"/>
          <w:szCs w:val="24"/>
        </w:rPr>
      </w:pPr>
      <w:r>
        <w:rPr>
          <w:sz w:val="24"/>
          <w:szCs w:val="24"/>
        </w:rPr>
        <w:t>Next event</w:t>
      </w:r>
      <w:r w:rsidR="00A5342D">
        <w:rPr>
          <w:sz w:val="24"/>
          <w:szCs w:val="24"/>
        </w:rPr>
        <w:t xml:space="preserve">: </w:t>
      </w:r>
      <w:r w:rsidR="00A5342D">
        <w:rPr>
          <w:noProof/>
          <w:sz w:val="24"/>
          <w:szCs w:val="24"/>
        </w:rPr>
        <w:t>4 April 2024</w:t>
      </w:r>
    </w:p>
    <w:p w14:paraId="784A6404" w14:textId="77777777" w:rsidR="00BB750F" w:rsidRPr="00C20C24" w:rsidRDefault="007F607D" w:rsidP="00BB750F">
      <w:pPr>
        <w:rPr>
          <w:sz w:val="24"/>
          <w:szCs w:val="24"/>
        </w:rPr>
      </w:pPr>
      <w:r w:rsidRPr="00C20C24">
        <w:rPr>
          <w:sz w:val="24"/>
          <w:szCs w:val="24"/>
        </w:rPr>
        <w:t>________________________________________________________________</w:t>
      </w:r>
    </w:p>
    <w:p w14:paraId="58EBF825" w14:textId="77777777" w:rsidR="00BB750F" w:rsidRPr="00A32F7F" w:rsidRDefault="00BB750F" w:rsidP="00BB750F"/>
    <w:p w14:paraId="6F9B85AB" w14:textId="77777777" w:rsidR="00550FF7" w:rsidRDefault="00550FF7" w:rsidP="00BB750F">
      <w:pPr>
        <w:spacing w:after="200" w:line="276" w:lineRule="auto"/>
        <w:jc w:val="left"/>
        <w:rPr>
          <w:rFonts w:cs="Calibri"/>
          <w:b/>
          <w:bCs/>
          <w:sz w:val="24"/>
          <w:szCs w:val="24"/>
        </w:rPr>
        <w:sectPr w:rsidR="00550FF7" w:rsidSect="006A5077">
          <w:headerReference w:type="even" r:id="rId8"/>
          <w:headerReference w:type="default" r:id="rId9"/>
          <w:footerReference w:type="even" r:id="rId10"/>
          <w:footerReference w:type="first" r:id="rId11"/>
          <w:pgSz w:w="11906" w:h="16838"/>
          <w:pgMar w:top="851" w:right="1134" w:bottom="567" w:left="3005" w:header="567" w:footer="567" w:gutter="0"/>
          <w:pgNumType w:start="0"/>
          <w:cols w:space="708"/>
          <w:titlePg/>
          <w:docGrid w:linePitch="360"/>
        </w:sectPr>
      </w:pPr>
    </w:p>
    <w:p w14:paraId="3C63F658" w14:textId="77777777" w:rsidR="00087E37" w:rsidRPr="00031BE1" w:rsidRDefault="007F607D" w:rsidP="00BB750F">
      <w:pPr>
        <w:spacing w:after="200" w:line="276" w:lineRule="auto"/>
        <w:jc w:val="left"/>
        <w:rPr>
          <w:rFonts w:cs="Calibri"/>
          <w:b/>
          <w:bCs/>
          <w:sz w:val="24"/>
          <w:szCs w:val="24"/>
        </w:rPr>
      </w:pPr>
      <w:r w:rsidRPr="00031BE1">
        <w:rPr>
          <w:rFonts w:cs="Calibri"/>
          <w:b/>
          <w:bCs/>
          <w:sz w:val="24"/>
          <w:szCs w:val="24"/>
        </w:rPr>
        <w:lastRenderedPageBreak/>
        <w:t>MAY IT PLEASE THE COURT:</w:t>
      </w:r>
    </w:p>
    <w:p w14:paraId="61EE664F" w14:textId="77777777" w:rsidR="00087E37" w:rsidRPr="00031BE1" w:rsidRDefault="007F607D" w:rsidP="00087E37">
      <w:pPr>
        <w:spacing w:line="360" w:lineRule="auto"/>
        <w:rPr>
          <w:rFonts w:cs="Calibri"/>
          <w:b/>
          <w:bCs/>
          <w:sz w:val="24"/>
          <w:szCs w:val="24"/>
        </w:rPr>
      </w:pPr>
      <w:r w:rsidRPr="00031BE1">
        <w:rPr>
          <w:rFonts w:cs="Calibri"/>
          <w:b/>
          <w:bCs/>
          <w:sz w:val="24"/>
          <w:szCs w:val="24"/>
        </w:rPr>
        <w:t>Introduction</w:t>
      </w:r>
    </w:p>
    <w:p w14:paraId="11D7C476" w14:textId="77777777" w:rsidR="00087E37" w:rsidRPr="00031BE1" w:rsidRDefault="00087E37" w:rsidP="00087E37">
      <w:pPr>
        <w:spacing w:line="360" w:lineRule="auto"/>
        <w:rPr>
          <w:rFonts w:cs="Calibri"/>
          <w:b/>
          <w:bCs/>
          <w:sz w:val="24"/>
          <w:szCs w:val="24"/>
        </w:rPr>
      </w:pPr>
    </w:p>
    <w:p w14:paraId="1D989B97" w14:textId="77777777" w:rsidR="006E4A55" w:rsidRPr="006E4A55" w:rsidRDefault="007F607D" w:rsidP="006E4A55">
      <w:pPr>
        <w:numPr>
          <w:ilvl w:val="0"/>
          <w:numId w:val="1"/>
        </w:numPr>
        <w:tabs>
          <w:tab w:val="clear" w:pos="851"/>
          <w:tab w:val="num" w:pos="540"/>
        </w:tabs>
        <w:spacing w:line="360" w:lineRule="auto"/>
        <w:ind w:left="540" w:hanging="540"/>
        <w:rPr>
          <w:rFonts w:cs="Calibri"/>
          <w:sz w:val="24"/>
          <w:szCs w:val="24"/>
        </w:rPr>
      </w:pPr>
      <w:r w:rsidRPr="006E4A55">
        <w:rPr>
          <w:rFonts w:cs="Calibri"/>
          <w:noProof/>
          <w:sz w:val="24"/>
          <w:szCs w:val="24"/>
        </w:rPr>
        <w:t>David Jeremiah Solt</w:t>
      </w:r>
      <w:r w:rsidRPr="006E4A55">
        <w:rPr>
          <w:rFonts w:cs="Calibri"/>
          <w:sz w:val="24"/>
          <w:szCs w:val="24"/>
        </w:rPr>
        <w:t xml:space="preserve"> appears for sentence having pleaded guilty to one charge of </w:t>
      </w:r>
      <w:r w:rsidR="00A6055A">
        <w:rPr>
          <w:rFonts w:cs="Calibri"/>
          <w:sz w:val="24"/>
          <w:szCs w:val="24"/>
        </w:rPr>
        <w:t>breach of protection order</w:t>
      </w:r>
      <w:r w:rsidRPr="006E4A55">
        <w:rPr>
          <w:rFonts w:cs="Calibri"/>
          <w:sz w:val="24"/>
          <w:szCs w:val="24"/>
        </w:rPr>
        <w:t xml:space="preserve"> under s </w:t>
      </w:r>
      <w:r w:rsidR="00B50A47">
        <w:rPr>
          <w:rFonts w:cs="Calibri"/>
          <w:sz w:val="24"/>
          <w:szCs w:val="24"/>
        </w:rPr>
        <w:t>90(a), 9 and 112(1)(a)</w:t>
      </w:r>
      <w:r w:rsidRPr="006E4A55">
        <w:rPr>
          <w:rFonts w:cs="Calibri"/>
          <w:sz w:val="24"/>
          <w:szCs w:val="24"/>
        </w:rPr>
        <w:t xml:space="preserve"> of the </w:t>
      </w:r>
      <w:r w:rsidR="00B50A47">
        <w:rPr>
          <w:rFonts w:cs="Calibri"/>
          <w:sz w:val="24"/>
          <w:szCs w:val="24"/>
        </w:rPr>
        <w:t>Family Violence Act 2018</w:t>
      </w:r>
      <w:r w:rsidRPr="006E4A55">
        <w:rPr>
          <w:rFonts w:cs="Calibri"/>
          <w:sz w:val="24"/>
          <w:szCs w:val="24"/>
        </w:rPr>
        <w:t xml:space="preserve">.  The charge carries a maximum penalty of </w:t>
      </w:r>
      <w:r w:rsidR="00B50A47">
        <w:rPr>
          <w:rFonts w:cs="Calibri"/>
          <w:sz w:val="24"/>
          <w:szCs w:val="24"/>
        </w:rPr>
        <w:t>3 year’s</w:t>
      </w:r>
      <w:r w:rsidRPr="006E4A55">
        <w:rPr>
          <w:rFonts w:cs="Calibri"/>
          <w:sz w:val="24"/>
          <w:szCs w:val="24"/>
        </w:rPr>
        <w:t xml:space="preserve"> imprisonment.</w:t>
      </w:r>
    </w:p>
    <w:p w14:paraId="0295B698" w14:textId="77777777" w:rsidR="006E4A55" w:rsidRPr="006E4A55" w:rsidRDefault="006E4A55" w:rsidP="006E4A55">
      <w:pPr>
        <w:spacing w:line="360" w:lineRule="auto"/>
        <w:ind w:left="540"/>
        <w:rPr>
          <w:rFonts w:cs="Calibri"/>
          <w:sz w:val="24"/>
          <w:szCs w:val="24"/>
        </w:rPr>
      </w:pPr>
    </w:p>
    <w:p w14:paraId="448A8450" w14:textId="77777777" w:rsidR="006E4A55" w:rsidRPr="006E4A55" w:rsidRDefault="007F607D" w:rsidP="006E4A55">
      <w:pPr>
        <w:numPr>
          <w:ilvl w:val="0"/>
          <w:numId w:val="1"/>
        </w:numPr>
        <w:tabs>
          <w:tab w:val="clear" w:pos="851"/>
          <w:tab w:val="num" w:pos="540"/>
        </w:tabs>
        <w:spacing w:line="360" w:lineRule="auto"/>
        <w:ind w:left="540" w:hanging="540"/>
        <w:rPr>
          <w:rFonts w:cs="Calibri"/>
          <w:sz w:val="24"/>
          <w:szCs w:val="24"/>
        </w:rPr>
      </w:pPr>
      <w:r w:rsidRPr="006E4A55">
        <w:rPr>
          <w:rFonts w:cs="Calibri"/>
          <w:noProof/>
          <w:sz w:val="24"/>
          <w:szCs w:val="24"/>
        </w:rPr>
        <w:t>David Jeremiah Solt</w:t>
      </w:r>
      <w:r w:rsidRPr="006E4A55">
        <w:rPr>
          <w:rFonts w:cs="Calibri"/>
          <w:sz w:val="24"/>
          <w:szCs w:val="24"/>
        </w:rPr>
        <w:t xml:space="preserve"> seeks a discharge without conviction pursuant to s 106 of the Sentencing Act 2002 (the Act).</w:t>
      </w:r>
    </w:p>
    <w:p w14:paraId="1102D985" w14:textId="77777777" w:rsidR="006E4A55" w:rsidRPr="006E4A55" w:rsidRDefault="006E4A55" w:rsidP="006E4A55">
      <w:pPr>
        <w:tabs>
          <w:tab w:val="num" w:pos="540"/>
        </w:tabs>
        <w:spacing w:line="360" w:lineRule="auto"/>
        <w:ind w:left="540" w:hanging="540"/>
        <w:rPr>
          <w:rFonts w:cs="Calibri"/>
          <w:sz w:val="24"/>
          <w:szCs w:val="24"/>
        </w:rPr>
      </w:pPr>
    </w:p>
    <w:p w14:paraId="355F6F60" w14:textId="77777777" w:rsidR="006E4A55" w:rsidRPr="006E4A55" w:rsidRDefault="007F607D" w:rsidP="006E4A55">
      <w:pPr>
        <w:numPr>
          <w:ilvl w:val="0"/>
          <w:numId w:val="1"/>
        </w:numPr>
        <w:tabs>
          <w:tab w:val="clear" w:pos="851"/>
          <w:tab w:val="num" w:pos="540"/>
        </w:tabs>
        <w:spacing w:line="360" w:lineRule="auto"/>
        <w:ind w:left="540" w:hanging="540"/>
        <w:rPr>
          <w:rFonts w:cs="Calibri"/>
          <w:sz w:val="24"/>
          <w:szCs w:val="24"/>
        </w:rPr>
      </w:pPr>
      <w:r w:rsidRPr="006E4A55">
        <w:rPr>
          <w:rFonts w:cs="Calibri"/>
          <w:sz w:val="24"/>
          <w:szCs w:val="24"/>
        </w:rPr>
        <w:t>The summary of facts</w:t>
      </w:r>
      <w:r w:rsidRPr="006E4A55">
        <w:rPr>
          <w:rFonts w:cs="Calibri"/>
          <w:sz w:val="24"/>
          <w:szCs w:val="24"/>
          <w:lang w:val="en-GB"/>
        </w:rPr>
        <w:t xml:space="preserve"> is accepted.</w:t>
      </w:r>
    </w:p>
    <w:p w14:paraId="29408839" w14:textId="77777777" w:rsidR="006E4A55" w:rsidRPr="006E4A55" w:rsidRDefault="006E4A55" w:rsidP="006E4A55">
      <w:pPr>
        <w:ind w:left="720"/>
        <w:rPr>
          <w:rFonts w:cs="Calibri"/>
          <w:sz w:val="24"/>
          <w:szCs w:val="24"/>
        </w:rPr>
      </w:pPr>
    </w:p>
    <w:p w14:paraId="2BB6BE16" w14:textId="77777777" w:rsidR="006E4A55" w:rsidRPr="006E4A55" w:rsidRDefault="007F607D" w:rsidP="006E4A55">
      <w:pPr>
        <w:numPr>
          <w:ilvl w:val="0"/>
          <w:numId w:val="1"/>
        </w:numPr>
        <w:tabs>
          <w:tab w:val="clear" w:pos="851"/>
          <w:tab w:val="num" w:pos="540"/>
        </w:tabs>
        <w:spacing w:line="360" w:lineRule="auto"/>
        <w:ind w:left="540" w:hanging="540"/>
        <w:rPr>
          <w:rFonts w:cs="Calibri"/>
          <w:sz w:val="24"/>
          <w:szCs w:val="24"/>
        </w:rPr>
      </w:pPr>
      <w:r w:rsidRPr="006E4A55">
        <w:rPr>
          <w:rFonts w:cs="Calibri"/>
          <w:sz w:val="24"/>
          <w:szCs w:val="24"/>
        </w:rPr>
        <w:t xml:space="preserve">The personal circumstances of </w:t>
      </w:r>
      <w:r w:rsidRPr="006E4A55">
        <w:rPr>
          <w:rFonts w:cs="Calibri"/>
          <w:noProof/>
          <w:sz w:val="24"/>
          <w:szCs w:val="24"/>
        </w:rPr>
        <w:t>David Jeremiah Solt</w:t>
      </w:r>
      <w:r w:rsidRPr="006E4A55">
        <w:rPr>
          <w:rFonts w:cs="Calibri"/>
          <w:sz w:val="24"/>
          <w:szCs w:val="24"/>
        </w:rPr>
        <w:t xml:space="preserve"> are set out in </w:t>
      </w:r>
      <w:r w:rsidRPr="006E4A55">
        <w:rPr>
          <w:rFonts w:cs="Calibri"/>
          <w:noProof/>
          <w:sz w:val="24"/>
          <w:szCs w:val="24"/>
        </w:rPr>
        <w:t>his</w:t>
      </w:r>
      <w:r w:rsidRPr="006E4A55">
        <w:rPr>
          <w:rFonts w:cs="Calibri"/>
          <w:sz w:val="24"/>
          <w:szCs w:val="24"/>
        </w:rPr>
        <w:t xml:space="preserve"> affidavit filed in support of this application.</w:t>
      </w:r>
      <w:r>
        <w:rPr>
          <w:rFonts w:cs="Calibri"/>
          <w:bCs/>
          <w:sz w:val="24"/>
          <w:vertAlign w:val="superscript"/>
        </w:rPr>
        <w:footnoteReference w:id="1"/>
      </w:r>
    </w:p>
    <w:p w14:paraId="1CA7217E" w14:textId="77777777" w:rsidR="006E4A55" w:rsidRPr="006E4A55" w:rsidRDefault="006E4A55" w:rsidP="006E4A55">
      <w:pPr>
        <w:ind w:left="720"/>
        <w:rPr>
          <w:rFonts w:cs="Calibri"/>
          <w:sz w:val="24"/>
          <w:szCs w:val="24"/>
        </w:rPr>
      </w:pPr>
    </w:p>
    <w:p w14:paraId="52BCADE6" w14:textId="77777777" w:rsidR="006E4A55" w:rsidRPr="006E4A55" w:rsidRDefault="007F607D" w:rsidP="006E4A55">
      <w:pPr>
        <w:numPr>
          <w:ilvl w:val="0"/>
          <w:numId w:val="1"/>
        </w:numPr>
        <w:tabs>
          <w:tab w:val="clear" w:pos="851"/>
          <w:tab w:val="num" w:pos="540"/>
        </w:tabs>
        <w:spacing w:line="360" w:lineRule="auto"/>
        <w:ind w:left="540" w:hanging="540"/>
        <w:rPr>
          <w:rFonts w:cs="Calibri"/>
          <w:sz w:val="24"/>
          <w:szCs w:val="24"/>
        </w:rPr>
      </w:pPr>
      <w:r w:rsidRPr="006E4A55">
        <w:rPr>
          <w:rFonts w:cs="Calibri"/>
          <w:sz w:val="24"/>
          <w:szCs w:val="24"/>
        </w:rPr>
        <w:t xml:space="preserve">In brief the consequences for </w:t>
      </w:r>
      <w:r w:rsidRPr="006E4A55">
        <w:rPr>
          <w:rFonts w:cs="Calibri"/>
          <w:noProof/>
          <w:sz w:val="24"/>
          <w:szCs w:val="24"/>
        </w:rPr>
        <w:t>David Jeremiah Solt</w:t>
      </w:r>
      <w:r w:rsidRPr="006E4A55">
        <w:rPr>
          <w:rFonts w:cs="Calibri"/>
          <w:sz w:val="24"/>
          <w:szCs w:val="24"/>
        </w:rPr>
        <w:t xml:space="preserve"> of a conviction are</w:t>
      </w:r>
      <w:r w:rsidR="00B50A47">
        <w:rPr>
          <w:rFonts w:cs="Calibri"/>
          <w:sz w:val="24"/>
          <w:szCs w:val="24"/>
        </w:rPr>
        <w:t xml:space="preserve"> that the imposition of a conviction for an offence of this type would greatly prejudice the chance of Mr Solt getting a job of the type he can do, given his physical disabilities. </w:t>
      </w:r>
    </w:p>
    <w:p w14:paraId="2B682334" w14:textId="77777777" w:rsidR="004113C5" w:rsidRDefault="004113C5" w:rsidP="00087E37">
      <w:pPr>
        <w:spacing w:line="360" w:lineRule="auto"/>
        <w:rPr>
          <w:rFonts w:cs="Calibri"/>
          <w:b/>
          <w:sz w:val="24"/>
          <w:szCs w:val="24"/>
        </w:rPr>
      </w:pPr>
    </w:p>
    <w:p w14:paraId="551B42C7" w14:textId="77777777" w:rsidR="00087E37" w:rsidRPr="00031BE1" w:rsidRDefault="007F607D" w:rsidP="00087E37">
      <w:pPr>
        <w:spacing w:line="360" w:lineRule="auto"/>
        <w:rPr>
          <w:rFonts w:cs="Calibri"/>
          <w:b/>
          <w:sz w:val="24"/>
          <w:szCs w:val="24"/>
        </w:rPr>
      </w:pPr>
      <w:r w:rsidRPr="00031BE1">
        <w:rPr>
          <w:rFonts w:cs="Calibri"/>
          <w:b/>
          <w:sz w:val="24"/>
          <w:szCs w:val="24"/>
        </w:rPr>
        <w:t>The law</w:t>
      </w:r>
    </w:p>
    <w:p w14:paraId="11DDB1AD" w14:textId="77777777" w:rsidR="00087E37" w:rsidRPr="00031BE1" w:rsidRDefault="00087E37" w:rsidP="00087E37">
      <w:pPr>
        <w:spacing w:line="360" w:lineRule="auto"/>
        <w:rPr>
          <w:rFonts w:cs="Calibri"/>
          <w:b/>
          <w:sz w:val="24"/>
          <w:szCs w:val="24"/>
        </w:rPr>
      </w:pPr>
    </w:p>
    <w:p w14:paraId="00F5E41D" w14:textId="77777777" w:rsidR="0016211D" w:rsidRPr="006E4A55" w:rsidRDefault="0016211D" w:rsidP="0016211D">
      <w:pPr>
        <w:numPr>
          <w:ilvl w:val="0"/>
          <w:numId w:val="1"/>
        </w:numPr>
        <w:tabs>
          <w:tab w:val="clear" w:pos="851"/>
          <w:tab w:val="num" w:pos="540"/>
        </w:tabs>
        <w:spacing w:line="360" w:lineRule="auto"/>
        <w:ind w:left="540" w:hanging="540"/>
        <w:rPr>
          <w:rFonts w:cs="Calibri"/>
          <w:bCs/>
          <w:noProof/>
          <w:sz w:val="24"/>
          <w:szCs w:val="24"/>
        </w:rPr>
      </w:pPr>
      <w:r w:rsidRPr="006E4A55">
        <w:rPr>
          <w:rFonts w:cs="Calibri"/>
          <w:bCs/>
          <w:noProof/>
          <w:sz w:val="24"/>
          <w:szCs w:val="24"/>
        </w:rPr>
        <w:t>Section 11(1)(a) of t</w:t>
      </w:r>
      <w:r w:rsidRPr="006E4A55">
        <w:rPr>
          <w:rFonts w:cs="Calibri"/>
          <w:sz w:val="24"/>
          <w:szCs w:val="24"/>
          <w:lang w:val="en-AU"/>
        </w:rPr>
        <w:t xml:space="preserve">he Act </w:t>
      </w:r>
      <w:r w:rsidRPr="006E4A55">
        <w:rPr>
          <w:rFonts w:cs="Calibri"/>
          <w:bCs/>
          <w:noProof/>
          <w:sz w:val="24"/>
          <w:szCs w:val="24"/>
        </w:rPr>
        <w:t>requires the Court to consider, where a person is found guilty or pleads guilty, whether the offender might be more appropriately dealt with by way of a discharge without conviction.</w:t>
      </w:r>
    </w:p>
    <w:p w14:paraId="743CCABA" w14:textId="77777777" w:rsidR="0016211D" w:rsidRPr="006E4A55" w:rsidRDefault="0016211D" w:rsidP="0016211D">
      <w:pPr>
        <w:spacing w:line="360" w:lineRule="auto"/>
        <w:ind w:left="540"/>
        <w:rPr>
          <w:rFonts w:cs="Calibri"/>
          <w:bCs/>
          <w:noProof/>
          <w:sz w:val="24"/>
          <w:szCs w:val="24"/>
        </w:rPr>
      </w:pPr>
    </w:p>
    <w:p w14:paraId="5B3A497D" w14:textId="77777777" w:rsidR="0016211D" w:rsidRPr="006E4A55" w:rsidRDefault="0016211D" w:rsidP="0016211D">
      <w:pPr>
        <w:numPr>
          <w:ilvl w:val="0"/>
          <w:numId w:val="1"/>
        </w:numPr>
        <w:tabs>
          <w:tab w:val="clear" w:pos="851"/>
          <w:tab w:val="num" w:pos="540"/>
        </w:tabs>
        <w:spacing w:line="360" w:lineRule="auto"/>
        <w:ind w:left="540" w:hanging="540"/>
        <w:rPr>
          <w:rFonts w:cs="Calibri"/>
          <w:bCs/>
          <w:noProof/>
          <w:sz w:val="24"/>
          <w:szCs w:val="24"/>
        </w:rPr>
      </w:pPr>
      <w:r w:rsidRPr="006E4A55">
        <w:rPr>
          <w:rFonts w:cs="Calibri"/>
          <w:bCs/>
          <w:noProof/>
          <w:sz w:val="24"/>
          <w:szCs w:val="24"/>
        </w:rPr>
        <w:t>Section 106 of the Act provides:</w:t>
      </w:r>
    </w:p>
    <w:p w14:paraId="662238D1" w14:textId="77777777" w:rsidR="0016211D" w:rsidRPr="006E4A55" w:rsidRDefault="0016211D" w:rsidP="0016211D">
      <w:pPr>
        <w:shd w:val="clear" w:color="auto" w:fill="FFFFFF"/>
        <w:spacing w:before="240" w:after="60"/>
        <w:ind w:left="540" w:right="567" w:firstLine="540"/>
        <w:outlineLvl w:val="4"/>
        <w:rPr>
          <w:b/>
          <w:bCs/>
          <w:iCs/>
          <w:color w:val="000000"/>
          <w:szCs w:val="22"/>
        </w:rPr>
      </w:pPr>
      <w:r w:rsidRPr="006E4A55">
        <w:rPr>
          <w:b/>
          <w:iCs/>
          <w:color w:val="000000"/>
          <w:szCs w:val="22"/>
        </w:rPr>
        <w:t>Discharge without conviction</w:t>
      </w:r>
    </w:p>
    <w:p w14:paraId="49EAA628" w14:textId="77777777" w:rsidR="0016211D" w:rsidRPr="006E4A55" w:rsidRDefault="0016211D" w:rsidP="0016211D">
      <w:pPr>
        <w:shd w:val="clear" w:color="auto" w:fill="FFFFFF"/>
        <w:ind w:left="1827" w:right="567" w:hanging="567"/>
        <w:rPr>
          <w:color w:val="000000"/>
          <w:szCs w:val="22"/>
          <w:lang w:eastAsia="en-NZ"/>
        </w:rPr>
      </w:pPr>
      <w:r w:rsidRPr="006E4A55">
        <w:rPr>
          <w:color w:val="000000"/>
          <w:lang w:eastAsia="en-NZ"/>
        </w:rPr>
        <w:t>(1)</w:t>
      </w:r>
      <w:r w:rsidRPr="006E4A55">
        <w:rPr>
          <w:lang w:eastAsia="en-NZ"/>
        </w:rPr>
        <w:t> </w:t>
      </w:r>
      <w:r w:rsidRPr="006E4A55">
        <w:rPr>
          <w:lang w:eastAsia="en-NZ"/>
        </w:rPr>
        <w:tab/>
      </w:r>
      <w:r w:rsidRPr="006E4A55">
        <w:rPr>
          <w:color w:val="000000"/>
          <w:szCs w:val="22"/>
          <w:lang w:eastAsia="en-NZ"/>
        </w:rPr>
        <w:t>If a person who is charged with an offence is found guilty or pleads guilty, the court may discharge the offender without conviction, unless by any enactment applicable to the offence the court is required to impose a minimum sentence.</w:t>
      </w:r>
    </w:p>
    <w:p w14:paraId="49F52C84" w14:textId="77777777" w:rsidR="0016211D" w:rsidRPr="006E4A55" w:rsidRDefault="0016211D" w:rsidP="0016211D">
      <w:pPr>
        <w:shd w:val="clear" w:color="auto" w:fill="FFFFFF"/>
        <w:ind w:left="1827" w:right="567" w:hanging="567"/>
        <w:rPr>
          <w:color w:val="000000"/>
          <w:szCs w:val="22"/>
          <w:lang w:eastAsia="en-NZ"/>
        </w:rPr>
      </w:pPr>
      <w:r w:rsidRPr="006E4A55">
        <w:rPr>
          <w:color w:val="000000"/>
          <w:lang w:eastAsia="en-NZ"/>
        </w:rPr>
        <w:t>(2)</w:t>
      </w:r>
      <w:r w:rsidRPr="006E4A55">
        <w:rPr>
          <w:color w:val="000000"/>
          <w:lang w:eastAsia="en-NZ"/>
        </w:rPr>
        <w:tab/>
      </w:r>
      <w:r w:rsidRPr="006E4A55">
        <w:rPr>
          <w:color w:val="000000"/>
          <w:szCs w:val="22"/>
          <w:lang w:eastAsia="en-NZ"/>
        </w:rPr>
        <w:t>A discharge under this section is deemed to be an acquittal.</w:t>
      </w:r>
    </w:p>
    <w:p w14:paraId="5DB99194" w14:textId="77777777" w:rsidR="0016211D" w:rsidRPr="006E4A55" w:rsidRDefault="0016211D" w:rsidP="0016211D">
      <w:pPr>
        <w:shd w:val="clear" w:color="auto" w:fill="FFFFFF"/>
        <w:ind w:left="1827" w:right="567" w:hanging="567"/>
        <w:rPr>
          <w:color w:val="000000"/>
          <w:szCs w:val="22"/>
          <w:lang w:eastAsia="en-NZ"/>
        </w:rPr>
      </w:pPr>
      <w:r w:rsidRPr="006E4A55">
        <w:rPr>
          <w:color w:val="000000"/>
          <w:lang w:eastAsia="en-NZ"/>
        </w:rPr>
        <w:lastRenderedPageBreak/>
        <w:t>(3)</w:t>
      </w:r>
      <w:r w:rsidRPr="006E4A55">
        <w:rPr>
          <w:lang w:eastAsia="en-NZ"/>
        </w:rPr>
        <w:t> </w:t>
      </w:r>
      <w:r w:rsidRPr="006E4A55">
        <w:rPr>
          <w:lang w:eastAsia="en-NZ"/>
        </w:rPr>
        <w:tab/>
      </w:r>
      <w:r w:rsidRPr="006E4A55">
        <w:rPr>
          <w:color w:val="000000"/>
          <w:szCs w:val="22"/>
          <w:lang w:eastAsia="en-NZ"/>
        </w:rPr>
        <w:t>A court discharging an offender under this section may—</w:t>
      </w:r>
    </w:p>
    <w:p w14:paraId="3312BB80" w14:textId="77777777" w:rsidR="0016211D" w:rsidRPr="006E4A55" w:rsidRDefault="0016211D" w:rsidP="0016211D">
      <w:pPr>
        <w:shd w:val="clear" w:color="auto" w:fill="FFFFFF"/>
        <w:ind w:left="1827" w:right="567"/>
        <w:rPr>
          <w:color w:val="000000"/>
          <w:szCs w:val="22"/>
          <w:lang w:eastAsia="en-NZ"/>
        </w:rPr>
      </w:pPr>
      <w:r w:rsidRPr="006E4A55">
        <w:rPr>
          <w:color w:val="000000"/>
          <w:szCs w:val="22"/>
          <w:lang w:eastAsia="en-NZ"/>
        </w:rPr>
        <w:t>(</w:t>
      </w:r>
      <w:r w:rsidRPr="006E4A55">
        <w:rPr>
          <w:color w:val="000000"/>
          <w:lang w:eastAsia="en-NZ"/>
        </w:rPr>
        <w:t>a)</w:t>
      </w:r>
      <w:r w:rsidRPr="006E4A55">
        <w:rPr>
          <w:lang w:eastAsia="en-NZ"/>
        </w:rPr>
        <w:tab/>
      </w:r>
      <w:r w:rsidRPr="006E4A55">
        <w:rPr>
          <w:color w:val="000000"/>
          <w:szCs w:val="22"/>
          <w:lang w:eastAsia="en-NZ"/>
        </w:rPr>
        <w:t xml:space="preserve">make an order for payment of costs or the restitution of </w:t>
      </w:r>
      <w:r w:rsidRPr="006E4A55">
        <w:rPr>
          <w:color w:val="000000"/>
          <w:szCs w:val="22"/>
          <w:lang w:eastAsia="en-NZ"/>
        </w:rPr>
        <w:tab/>
        <w:t>any property; or</w:t>
      </w:r>
    </w:p>
    <w:p w14:paraId="70AFE414" w14:textId="77777777" w:rsidR="0016211D" w:rsidRPr="00031BE1" w:rsidRDefault="0016211D" w:rsidP="0016211D">
      <w:pPr>
        <w:pStyle w:val="labelled"/>
        <w:shd w:val="clear" w:color="auto" w:fill="FFFFFF"/>
        <w:tabs>
          <w:tab w:val="left" w:pos="2127"/>
        </w:tabs>
        <w:ind w:left="1827" w:right="567"/>
        <w:jc w:val="both"/>
        <w:rPr>
          <w:rFonts w:ascii="Calibri" w:hAnsi="Calibri"/>
          <w:color w:val="000000"/>
          <w:sz w:val="22"/>
          <w:szCs w:val="22"/>
        </w:rPr>
      </w:pPr>
      <w:r w:rsidRPr="00031BE1">
        <w:rPr>
          <w:rStyle w:val="label"/>
          <w:rFonts w:ascii="Calibri" w:hAnsi="Calibri"/>
          <w:color w:val="000000"/>
          <w:sz w:val="22"/>
          <w:szCs w:val="22"/>
        </w:rPr>
        <w:t>(b)</w:t>
      </w:r>
      <w:r w:rsidRPr="00031BE1">
        <w:rPr>
          <w:rStyle w:val="spc"/>
          <w:rFonts w:ascii="Calibri" w:hAnsi="Calibri"/>
          <w:sz w:val="22"/>
          <w:szCs w:val="22"/>
        </w:rPr>
        <w:t> </w:t>
      </w:r>
      <w:r>
        <w:rPr>
          <w:rStyle w:val="spc"/>
          <w:rFonts w:ascii="Calibri" w:hAnsi="Calibri"/>
          <w:sz w:val="22"/>
          <w:szCs w:val="22"/>
        </w:rPr>
        <w:tab/>
      </w:r>
      <w:r w:rsidRPr="00031BE1">
        <w:rPr>
          <w:rFonts w:ascii="Calibri" w:hAnsi="Calibri"/>
          <w:color w:val="000000"/>
          <w:sz w:val="22"/>
          <w:szCs w:val="22"/>
        </w:rPr>
        <w:t xml:space="preserve">make any order for the payment of any </w:t>
      </w:r>
      <w:r>
        <w:rPr>
          <w:rFonts w:ascii="Calibri" w:hAnsi="Calibri"/>
          <w:color w:val="000000"/>
          <w:sz w:val="22"/>
          <w:szCs w:val="22"/>
        </w:rPr>
        <w:t xml:space="preserve">sum that the </w:t>
      </w:r>
      <w:r>
        <w:rPr>
          <w:rFonts w:ascii="Calibri" w:hAnsi="Calibri"/>
          <w:color w:val="000000"/>
          <w:sz w:val="22"/>
          <w:szCs w:val="22"/>
        </w:rPr>
        <w:tab/>
        <w:t xml:space="preserve">court thinks fair </w:t>
      </w:r>
      <w:r w:rsidRPr="00031BE1">
        <w:rPr>
          <w:rFonts w:ascii="Calibri" w:hAnsi="Calibri"/>
          <w:color w:val="000000"/>
          <w:sz w:val="22"/>
          <w:szCs w:val="22"/>
        </w:rPr>
        <w:t xml:space="preserve">and reasonable to compensate any </w:t>
      </w:r>
      <w:r>
        <w:rPr>
          <w:rFonts w:ascii="Calibri" w:hAnsi="Calibri"/>
          <w:color w:val="000000"/>
          <w:sz w:val="22"/>
          <w:szCs w:val="22"/>
        </w:rPr>
        <w:tab/>
      </w:r>
      <w:r w:rsidRPr="00031BE1">
        <w:rPr>
          <w:rFonts w:ascii="Calibri" w:hAnsi="Calibri"/>
          <w:color w:val="000000"/>
          <w:sz w:val="22"/>
          <w:szCs w:val="22"/>
        </w:rPr>
        <w:t xml:space="preserve">person who, through, or by means of, the offence, has </w:t>
      </w:r>
      <w:r>
        <w:rPr>
          <w:rFonts w:ascii="Calibri" w:hAnsi="Calibri"/>
          <w:color w:val="000000"/>
          <w:sz w:val="22"/>
          <w:szCs w:val="22"/>
        </w:rPr>
        <w:tab/>
      </w:r>
      <w:r w:rsidRPr="00031BE1">
        <w:rPr>
          <w:rFonts w:ascii="Calibri" w:hAnsi="Calibri"/>
          <w:color w:val="000000"/>
          <w:sz w:val="22"/>
          <w:szCs w:val="22"/>
        </w:rPr>
        <w:t>suffered—</w:t>
      </w:r>
    </w:p>
    <w:p w14:paraId="26CDD784" w14:textId="77777777" w:rsidR="0016211D" w:rsidRPr="00031BE1" w:rsidRDefault="0016211D" w:rsidP="0016211D">
      <w:pPr>
        <w:pStyle w:val="labelled"/>
        <w:shd w:val="clear" w:color="auto" w:fill="FFFFFF"/>
        <w:ind w:left="1827" w:right="567" w:firstLine="306"/>
        <w:jc w:val="both"/>
        <w:rPr>
          <w:rFonts w:ascii="Calibri" w:hAnsi="Calibri"/>
          <w:color w:val="000000"/>
          <w:sz w:val="22"/>
          <w:szCs w:val="22"/>
        </w:rPr>
      </w:pPr>
      <w:r w:rsidRPr="00031BE1">
        <w:rPr>
          <w:rStyle w:val="label"/>
          <w:rFonts w:ascii="Calibri" w:hAnsi="Calibri"/>
          <w:color w:val="000000"/>
          <w:sz w:val="22"/>
          <w:szCs w:val="22"/>
        </w:rPr>
        <w:t>(</w:t>
      </w:r>
      <w:proofErr w:type="spellStart"/>
      <w:r w:rsidRPr="00031BE1">
        <w:rPr>
          <w:rStyle w:val="label"/>
          <w:rFonts w:ascii="Calibri" w:hAnsi="Calibri"/>
          <w:color w:val="000000"/>
          <w:sz w:val="22"/>
          <w:szCs w:val="22"/>
        </w:rPr>
        <w:t>i</w:t>
      </w:r>
      <w:proofErr w:type="spellEnd"/>
      <w:r w:rsidRPr="00031BE1">
        <w:rPr>
          <w:rStyle w:val="label"/>
          <w:rFonts w:ascii="Calibri" w:hAnsi="Calibri"/>
          <w:color w:val="000000"/>
          <w:sz w:val="22"/>
          <w:szCs w:val="22"/>
        </w:rPr>
        <w:t>)</w:t>
      </w:r>
      <w:r w:rsidRPr="00031BE1">
        <w:rPr>
          <w:rStyle w:val="spc"/>
          <w:rFonts w:ascii="Calibri" w:hAnsi="Calibri"/>
          <w:sz w:val="22"/>
          <w:szCs w:val="22"/>
        </w:rPr>
        <w:t> </w:t>
      </w:r>
      <w:r w:rsidRPr="00031BE1">
        <w:rPr>
          <w:rFonts w:ascii="Calibri" w:hAnsi="Calibri"/>
          <w:color w:val="000000"/>
          <w:sz w:val="22"/>
          <w:szCs w:val="22"/>
        </w:rPr>
        <w:t>loss of, or damage to, property; or</w:t>
      </w:r>
    </w:p>
    <w:p w14:paraId="41D1AD5B" w14:textId="77777777" w:rsidR="0016211D" w:rsidRPr="00031BE1" w:rsidRDefault="0016211D" w:rsidP="0016211D">
      <w:pPr>
        <w:pStyle w:val="labelled"/>
        <w:shd w:val="clear" w:color="auto" w:fill="FFFFFF"/>
        <w:ind w:left="1827" w:right="567" w:firstLine="306"/>
        <w:jc w:val="both"/>
        <w:rPr>
          <w:rFonts w:ascii="Calibri" w:hAnsi="Calibri"/>
          <w:color w:val="000000"/>
          <w:sz w:val="22"/>
          <w:szCs w:val="22"/>
        </w:rPr>
      </w:pPr>
      <w:r w:rsidRPr="00031BE1">
        <w:rPr>
          <w:rStyle w:val="label"/>
          <w:rFonts w:ascii="Calibri" w:hAnsi="Calibri"/>
          <w:color w:val="000000"/>
          <w:sz w:val="22"/>
          <w:szCs w:val="22"/>
        </w:rPr>
        <w:t>(ii)</w:t>
      </w:r>
      <w:r w:rsidRPr="00031BE1">
        <w:rPr>
          <w:rStyle w:val="spc"/>
          <w:rFonts w:ascii="Calibri" w:hAnsi="Calibri"/>
          <w:sz w:val="22"/>
          <w:szCs w:val="22"/>
        </w:rPr>
        <w:t> </w:t>
      </w:r>
      <w:r w:rsidRPr="00031BE1">
        <w:rPr>
          <w:rFonts w:ascii="Calibri" w:hAnsi="Calibri"/>
          <w:color w:val="000000"/>
          <w:sz w:val="22"/>
          <w:szCs w:val="22"/>
        </w:rPr>
        <w:t>emotional harm; or</w:t>
      </w:r>
    </w:p>
    <w:p w14:paraId="23F46410" w14:textId="77777777" w:rsidR="0016211D" w:rsidRPr="00031BE1" w:rsidRDefault="0016211D" w:rsidP="0016211D">
      <w:pPr>
        <w:pStyle w:val="labelled"/>
        <w:shd w:val="clear" w:color="auto" w:fill="FFFFFF"/>
        <w:ind w:left="2133" w:right="567"/>
        <w:jc w:val="both"/>
        <w:rPr>
          <w:rFonts w:ascii="Calibri" w:hAnsi="Calibri"/>
          <w:color w:val="000000"/>
          <w:sz w:val="22"/>
          <w:szCs w:val="22"/>
        </w:rPr>
      </w:pPr>
      <w:r w:rsidRPr="00031BE1">
        <w:rPr>
          <w:rStyle w:val="label"/>
          <w:rFonts w:ascii="Calibri" w:hAnsi="Calibri"/>
          <w:color w:val="000000"/>
          <w:sz w:val="22"/>
          <w:szCs w:val="22"/>
        </w:rPr>
        <w:t>(iii)</w:t>
      </w:r>
      <w:r w:rsidRPr="00031BE1">
        <w:rPr>
          <w:rFonts w:ascii="Calibri" w:hAnsi="Calibri"/>
          <w:color w:val="000000"/>
          <w:sz w:val="22"/>
          <w:szCs w:val="22"/>
        </w:rPr>
        <w:t>loss or damage consequential on any emotional or physical harm or loss of, or damage to, property:</w:t>
      </w:r>
    </w:p>
    <w:p w14:paraId="71AF71C8" w14:textId="77777777" w:rsidR="0016211D" w:rsidRDefault="0016211D" w:rsidP="0016211D">
      <w:pPr>
        <w:pStyle w:val="labelled"/>
        <w:shd w:val="clear" w:color="auto" w:fill="FFFFFF"/>
        <w:ind w:left="1843" w:right="567"/>
        <w:jc w:val="both"/>
        <w:rPr>
          <w:rFonts w:ascii="Calibri" w:hAnsi="Calibri"/>
          <w:color w:val="000000"/>
          <w:sz w:val="22"/>
          <w:szCs w:val="22"/>
        </w:rPr>
      </w:pPr>
      <w:r w:rsidRPr="00031BE1">
        <w:rPr>
          <w:rStyle w:val="label"/>
          <w:rFonts w:ascii="Calibri" w:hAnsi="Calibri"/>
          <w:color w:val="000000"/>
          <w:sz w:val="22"/>
          <w:szCs w:val="22"/>
        </w:rPr>
        <w:t>(c)</w:t>
      </w:r>
      <w:r w:rsidRPr="00031BE1">
        <w:rPr>
          <w:rStyle w:val="spc"/>
          <w:rFonts w:ascii="Calibri" w:hAnsi="Calibri"/>
          <w:sz w:val="22"/>
          <w:szCs w:val="22"/>
        </w:rPr>
        <w:t> </w:t>
      </w:r>
      <w:r>
        <w:rPr>
          <w:rStyle w:val="spc"/>
          <w:rFonts w:ascii="Calibri" w:hAnsi="Calibri"/>
          <w:sz w:val="22"/>
          <w:szCs w:val="22"/>
        </w:rPr>
        <w:tab/>
      </w:r>
      <w:r w:rsidRPr="00031BE1">
        <w:rPr>
          <w:rFonts w:ascii="Calibri" w:hAnsi="Calibri"/>
          <w:color w:val="000000"/>
          <w:sz w:val="22"/>
          <w:szCs w:val="22"/>
        </w:rPr>
        <w:t>make any order that t</w:t>
      </w:r>
      <w:r>
        <w:rPr>
          <w:rFonts w:ascii="Calibri" w:hAnsi="Calibri"/>
          <w:color w:val="000000"/>
          <w:sz w:val="22"/>
          <w:szCs w:val="22"/>
        </w:rPr>
        <w:t xml:space="preserve">he court is required to make on </w:t>
      </w:r>
      <w:r>
        <w:rPr>
          <w:rFonts w:ascii="Calibri" w:hAnsi="Calibri"/>
          <w:color w:val="000000"/>
          <w:sz w:val="22"/>
          <w:szCs w:val="22"/>
        </w:rPr>
        <w:tab/>
      </w:r>
      <w:r w:rsidRPr="00031BE1">
        <w:rPr>
          <w:rFonts w:ascii="Calibri" w:hAnsi="Calibri"/>
          <w:color w:val="000000"/>
          <w:sz w:val="22"/>
          <w:szCs w:val="22"/>
        </w:rPr>
        <w:t>conviction.</w:t>
      </w:r>
    </w:p>
    <w:p w14:paraId="72ACF9CB" w14:textId="77777777" w:rsidR="0016211D" w:rsidRPr="004113C5" w:rsidRDefault="0016211D" w:rsidP="0016211D">
      <w:pPr>
        <w:tabs>
          <w:tab w:val="left" w:pos="6237"/>
        </w:tabs>
        <w:spacing w:before="120" w:after="120"/>
        <w:ind w:left="1134" w:right="-30"/>
        <w:rPr>
          <w:rFonts w:cs="Calibri"/>
          <w:szCs w:val="22"/>
          <w:lang w:val="en-AU"/>
        </w:rPr>
      </w:pPr>
    </w:p>
    <w:p w14:paraId="70F7CF90" w14:textId="77777777" w:rsidR="0016211D" w:rsidRPr="006E4A55" w:rsidRDefault="0016211D" w:rsidP="0016211D">
      <w:pPr>
        <w:numPr>
          <w:ilvl w:val="0"/>
          <w:numId w:val="1"/>
        </w:numPr>
        <w:tabs>
          <w:tab w:val="clear" w:pos="851"/>
        </w:tabs>
        <w:spacing w:before="120" w:after="120" w:line="360" w:lineRule="auto"/>
        <w:ind w:left="540" w:hanging="540"/>
        <w:rPr>
          <w:rFonts w:cs="Calibri"/>
          <w:i/>
          <w:iCs/>
          <w:sz w:val="24"/>
          <w:szCs w:val="24"/>
        </w:rPr>
      </w:pPr>
      <w:r w:rsidRPr="006E4A55">
        <w:rPr>
          <w:rFonts w:cs="Calibri"/>
          <w:sz w:val="24"/>
          <w:szCs w:val="24"/>
        </w:rPr>
        <w:t>Section 107 of the Act sets out the threshold test that must be met before the discretion in s 106 can be exercised; namely that:</w:t>
      </w:r>
    </w:p>
    <w:p w14:paraId="6DE2BA06" w14:textId="77777777" w:rsidR="0016211D" w:rsidRPr="006E4A55" w:rsidRDefault="0016211D" w:rsidP="0016211D">
      <w:pPr>
        <w:ind w:left="1134" w:right="567"/>
        <w:rPr>
          <w:rFonts w:cs="Calibri"/>
          <w:szCs w:val="22"/>
          <w:lang w:val="en-AU"/>
        </w:rPr>
      </w:pPr>
      <w:r w:rsidRPr="006E4A55">
        <w:rPr>
          <w:rFonts w:cs="Calibri"/>
          <w:szCs w:val="22"/>
          <w:lang w:val="en-AU"/>
        </w:rPr>
        <w:t>The court must not discharge an offender without conviction unless the Court is satisfied that the direct and indirect consequences of a conviction would be out of all proportion to the gravity of the offence.</w:t>
      </w:r>
    </w:p>
    <w:p w14:paraId="2E077BFB" w14:textId="77777777" w:rsidR="0016211D" w:rsidRPr="006E4A55" w:rsidRDefault="0016211D" w:rsidP="0016211D">
      <w:pPr>
        <w:ind w:left="1134" w:right="-30"/>
        <w:rPr>
          <w:rFonts w:cs="Calibri"/>
          <w:szCs w:val="22"/>
          <w:lang w:val="en-AU"/>
        </w:rPr>
      </w:pPr>
    </w:p>
    <w:p w14:paraId="702C1323" w14:textId="77777777" w:rsidR="0016211D" w:rsidRPr="006E4A55" w:rsidRDefault="0016211D" w:rsidP="0016211D">
      <w:pPr>
        <w:numPr>
          <w:ilvl w:val="0"/>
          <w:numId w:val="1"/>
        </w:numPr>
        <w:tabs>
          <w:tab w:val="clear" w:pos="851"/>
        </w:tabs>
        <w:spacing w:before="120" w:after="120" w:line="360" w:lineRule="auto"/>
        <w:ind w:left="567" w:hanging="567"/>
        <w:rPr>
          <w:rFonts w:cs="Calibri"/>
          <w:sz w:val="24"/>
          <w:szCs w:val="24"/>
          <w:lang w:val="en-AU"/>
        </w:rPr>
      </w:pPr>
      <w:r w:rsidRPr="006E4A55">
        <w:rPr>
          <w:rFonts w:cs="Calibri"/>
          <w:sz w:val="24"/>
          <w:szCs w:val="24"/>
          <w:lang w:val="en-AU"/>
        </w:rPr>
        <w:t xml:space="preserve">The Court of Appeal, in </w:t>
      </w:r>
      <w:r w:rsidRPr="006E4A55">
        <w:rPr>
          <w:rFonts w:cs="Calibri"/>
          <w:i/>
          <w:sz w:val="24"/>
          <w:szCs w:val="24"/>
          <w:lang w:val="en-AU"/>
        </w:rPr>
        <w:t>R v Hughes,</w:t>
      </w:r>
      <w:r>
        <w:rPr>
          <w:rFonts w:cs="Calibri"/>
          <w:sz w:val="24"/>
          <w:szCs w:val="24"/>
          <w:vertAlign w:val="superscript"/>
          <w:lang w:val="en-AU"/>
        </w:rPr>
        <w:footnoteReference w:id="2"/>
      </w:r>
      <w:r w:rsidRPr="006E4A55">
        <w:rPr>
          <w:rFonts w:cs="Calibri"/>
          <w:sz w:val="24"/>
          <w:szCs w:val="24"/>
          <w:lang w:val="en-AU"/>
        </w:rPr>
        <w:t xml:space="preserve"> affirmed that consideration of a discharge under s 106 involves the three-step process enunciated in its earlier decisions:</w:t>
      </w:r>
      <w:r>
        <w:rPr>
          <w:rFonts w:cs="Calibri"/>
          <w:sz w:val="24"/>
          <w:vertAlign w:val="superscript"/>
          <w:lang w:val="en-AU"/>
        </w:rPr>
        <w:footnoteReference w:id="3"/>
      </w:r>
      <w:r w:rsidRPr="006E4A55">
        <w:rPr>
          <w:rFonts w:cs="Calibri"/>
          <w:sz w:val="24"/>
          <w:szCs w:val="24"/>
          <w:lang w:val="en-AU"/>
        </w:rPr>
        <w:t xml:space="preserve"> </w:t>
      </w:r>
    </w:p>
    <w:p w14:paraId="65E72671" w14:textId="77777777" w:rsidR="0016211D" w:rsidRPr="006E4A55" w:rsidRDefault="0016211D" w:rsidP="0016211D">
      <w:pPr>
        <w:tabs>
          <w:tab w:val="left" w:pos="6237"/>
        </w:tabs>
        <w:spacing w:before="120" w:after="120"/>
        <w:ind w:left="1134" w:right="567"/>
        <w:rPr>
          <w:rFonts w:cs="Calibri"/>
          <w:szCs w:val="22"/>
          <w:lang w:val="en-AU"/>
        </w:rPr>
      </w:pPr>
      <w:r w:rsidRPr="006E4A55">
        <w:rPr>
          <w:rFonts w:cs="Calibri"/>
          <w:szCs w:val="22"/>
          <w:lang w:val="en-AU"/>
        </w:rPr>
        <w:t>The Court must consider first, the gravity of the offending; secondly, the consequences of conviction; and finally, whether those consequences are out of all proportion to the gravity of the offending identified at step one.</w:t>
      </w:r>
    </w:p>
    <w:p w14:paraId="6FBA9949" w14:textId="77777777" w:rsidR="0016211D" w:rsidRPr="006E4A55" w:rsidRDefault="0016211D" w:rsidP="0016211D">
      <w:pPr>
        <w:tabs>
          <w:tab w:val="left" w:pos="6237"/>
        </w:tabs>
        <w:ind w:left="1134" w:right="-30"/>
        <w:rPr>
          <w:rFonts w:cs="Calibri"/>
          <w:szCs w:val="22"/>
          <w:lang w:val="en-AU"/>
        </w:rPr>
      </w:pPr>
    </w:p>
    <w:p w14:paraId="6497765C" w14:textId="77777777" w:rsidR="0016211D" w:rsidRPr="006E4A55" w:rsidRDefault="0016211D" w:rsidP="0016211D">
      <w:pPr>
        <w:numPr>
          <w:ilvl w:val="0"/>
          <w:numId w:val="1"/>
        </w:numPr>
        <w:tabs>
          <w:tab w:val="clear" w:pos="851"/>
          <w:tab w:val="num" w:pos="567"/>
        </w:tabs>
        <w:autoSpaceDE w:val="0"/>
        <w:autoSpaceDN w:val="0"/>
        <w:adjustRightInd w:val="0"/>
        <w:spacing w:line="360" w:lineRule="auto"/>
        <w:ind w:left="567" w:hanging="567"/>
        <w:rPr>
          <w:rFonts w:cs="Calibri"/>
          <w:sz w:val="24"/>
          <w:szCs w:val="24"/>
          <w:lang w:val="en-AU"/>
        </w:rPr>
      </w:pPr>
      <w:r w:rsidRPr="006E4A55">
        <w:rPr>
          <w:rFonts w:cs="Calibri"/>
          <w:sz w:val="24"/>
          <w:szCs w:val="24"/>
          <w:lang w:val="en-AU"/>
        </w:rPr>
        <w:t xml:space="preserve">The Court in </w:t>
      </w:r>
      <w:r w:rsidRPr="006E4A55">
        <w:rPr>
          <w:rFonts w:cs="Calibri"/>
          <w:i/>
          <w:sz w:val="24"/>
          <w:szCs w:val="24"/>
          <w:lang w:val="en-AU"/>
        </w:rPr>
        <w:t>Hughes</w:t>
      </w:r>
      <w:r w:rsidRPr="006E4A55">
        <w:rPr>
          <w:rFonts w:cs="Calibri"/>
          <w:sz w:val="24"/>
          <w:szCs w:val="24"/>
          <w:lang w:val="en-AU"/>
        </w:rPr>
        <w:t xml:space="preserve"> expressly approved earlier dicta that frame the s 107 inquiry as one that:</w:t>
      </w:r>
      <w:r>
        <w:rPr>
          <w:rFonts w:cs="Calibri"/>
          <w:sz w:val="24"/>
          <w:vertAlign w:val="superscript"/>
          <w:lang w:val="en-AU"/>
        </w:rPr>
        <w:footnoteReference w:id="4"/>
      </w:r>
      <w:r w:rsidRPr="006E4A55">
        <w:rPr>
          <w:rFonts w:cs="Calibri"/>
          <w:sz w:val="24"/>
          <w:szCs w:val="24"/>
          <w:lang w:val="en-AU"/>
        </w:rPr>
        <w:t xml:space="preserve">   </w:t>
      </w:r>
    </w:p>
    <w:p w14:paraId="21A4968B" w14:textId="77777777" w:rsidR="0016211D" w:rsidRPr="006E4A55" w:rsidRDefault="0016211D" w:rsidP="0016211D">
      <w:pPr>
        <w:tabs>
          <w:tab w:val="left" w:pos="6237"/>
        </w:tabs>
        <w:spacing w:before="240" w:after="360"/>
        <w:ind w:left="1134" w:right="567"/>
        <w:rPr>
          <w:rFonts w:cs="Calibri"/>
          <w:szCs w:val="22"/>
          <w:lang w:val="en-AU"/>
        </w:rPr>
      </w:pPr>
      <w:r w:rsidRPr="006E4A55">
        <w:rPr>
          <w:rFonts w:cs="Calibri"/>
          <w:szCs w:val="22"/>
          <w:lang w:val="en-AU"/>
        </w:rPr>
        <w:t>[Must] refer to all the circumstances that are relevant in the particular case before the Court. It must have due regard to the nature of the offence and to the gravity with which it is viewed by Parliament; to the seriousness of the particular offending; to the circumstances of the particular offender in terms of the effect on his career, his pocket, his reputation and any civil disabilities consequential on conviction; and to any other relevant circumstances.</w:t>
      </w:r>
    </w:p>
    <w:p w14:paraId="42301449" w14:textId="77777777" w:rsidR="0016211D" w:rsidRPr="00D7661F" w:rsidRDefault="0016211D" w:rsidP="0016211D">
      <w:pPr>
        <w:pStyle w:val="ListParagraph"/>
        <w:numPr>
          <w:ilvl w:val="0"/>
          <w:numId w:val="1"/>
        </w:numPr>
        <w:tabs>
          <w:tab w:val="clear" w:pos="851"/>
        </w:tabs>
        <w:autoSpaceDE w:val="0"/>
        <w:autoSpaceDN w:val="0"/>
        <w:adjustRightInd w:val="0"/>
        <w:spacing w:after="240" w:line="360" w:lineRule="auto"/>
        <w:ind w:left="567" w:hanging="567"/>
        <w:rPr>
          <w:rFonts w:cs="Calibri"/>
          <w:sz w:val="24"/>
          <w:szCs w:val="24"/>
          <w:lang w:eastAsia="en-NZ"/>
        </w:rPr>
      </w:pPr>
      <w:r w:rsidRPr="00D7661F">
        <w:rPr>
          <w:rFonts w:cs="Calibri"/>
          <w:sz w:val="24"/>
          <w:szCs w:val="24"/>
          <w:lang w:eastAsia="en-NZ"/>
        </w:rPr>
        <w:t xml:space="preserve">The Court of Appeal, in </w:t>
      </w:r>
      <w:r w:rsidRPr="00D7661F">
        <w:rPr>
          <w:rFonts w:cs="Calibri"/>
          <w:i/>
          <w:sz w:val="24"/>
          <w:szCs w:val="24"/>
          <w:lang w:eastAsia="en-NZ"/>
        </w:rPr>
        <w:t>Z(CA447/2012) v R,</w:t>
      </w:r>
      <w:r>
        <w:rPr>
          <w:vertAlign w:val="superscript"/>
          <w:lang w:eastAsia="en-NZ"/>
        </w:rPr>
        <w:footnoteReference w:id="5"/>
      </w:r>
      <w:r w:rsidRPr="00D7661F">
        <w:rPr>
          <w:rFonts w:cs="Calibri"/>
          <w:i/>
          <w:sz w:val="24"/>
          <w:szCs w:val="24"/>
          <w:lang w:eastAsia="en-NZ"/>
        </w:rPr>
        <w:t xml:space="preserve"> </w:t>
      </w:r>
      <w:r w:rsidRPr="00D7661F">
        <w:rPr>
          <w:rFonts w:cs="Calibri"/>
          <w:sz w:val="24"/>
          <w:szCs w:val="24"/>
          <w:lang w:eastAsia="en-NZ"/>
        </w:rPr>
        <w:t>responded to a concern that it had not, in post-</w:t>
      </w:r>
      <w:r w:rsidRPr="00D7661F">
        <w:rPr>
          <w:rFonts w:cs="Calibri"/>
          <w:i/>
          <w:sz w:val="24"/>
          <w:szCs w:val="24"/>
          <w:lang w:eastAsia="en-NZ"/>
        </w:rPr>
        <w:t>Hughes</w:t>
      </w:r>
      <w:r w:rsidRPr="00D7661F">
        <w:rPr>
          <w:rFonts w:cs="Calibri"/>
          <w:sz w:val="24"/>
          <w:szCs w:val="24"/>
          <w:lang w:eastAsia="en-NZ"/>
        </w:rPr>
        <w:t xml:space="preserve"> decisions, adopted a consistent approach </w:t>
      </w:r>
      <w:r w:rsidRPr="00D7661F">
        <w:rPr>
          <w:rFonts w:cs="Calibri"/>
          <w:sz w:val="24"/>
          <w:szCs w:val="24"/>
          <w:lang w:eastAsia="en-NZ"/>
        </w:rPr>
        <w:lastRenderedPageBreak/>
        <w:t xml:space="preserve">regarding when personal aggravating and mitigating factors </w:t>
      </w:r>
      <w:r w:rsidRPr="00D7661F">
        <w:rPr>
          <w:rFonts w:cs="Calibri"/>
          <w:sz w:val="24"/>
          <w:szCs w:val="24"/>
          <w:lang w:eastAsia="en-NZ"/>
        </w:rPr>
        <w:tab/>
        <w:t>fa</w:t>
      </w:r>
      <w:r>
        <w:rPr>
          <w:rFonts w:cs="Calibri"/>
          <w:sz w:val="24"/>
          <w:szCs w:val="24"/>
          <w:lang w:eastAsia="en-NZ"/>
        </w:rPr>
        <w:t>il</w:t>
      </w:r>
      <w:r w:rsidRPr="00D7661F">
        <w:rPr>
          <w:rFonts w:cs="Calibri"/>
          <w:sz w:val="24"/>
          <w:szCs w:val="24"/>
          <w:lang w:eastAsia="en-NZ"/>
        </w:rPr>
        <w:t xml:space="preserve"> to be considered.</w:t>
      </w:r>
      <w:r>
        <w:rPr>
          <w:vertAlign w:val="superscript"/>
          <w:lang w:eastAsia="en-NZ"/>
        </w:rPr>
        <w:footnoteReference w:id="6"/>
      </w:r>
      <w:r w:rsidRPr="00D7661F">
        <w:rPr>
          <w:rFonts w:cs="Calibri"/>
          <w:sz w:val="24"/>
          <w:szCs w:val="24"/>
          <w:lang w:eastAsia="en-NZ"/>
        </w:rPr>
        <w:t xml:space="preserve"> While the Court did not consider it to be of great significance whether the personal circumstances of the offender are taken into account at the first or third step of the enquiry, provided they are considered,</w:t>
      </w:r>
      <w:r>
        <w:rPr>
          <w:vertAlign w:val="superscript"/>
          <w:lang w:eastAsia="en-NZ"/>
        </w:rPr>
        <w:footnoteReference w:id="7"/>
      </w:r>
      <w:r w:rsidRPr="00D7661F">
        <w:rPr>
          <w:rFonts w:cs="Calibri"/>
          <w:sz w:val="24"/>
          <w:szCs w:val="24"/>
          <w:lang w:eastAsia="en-NZ"/>
        </w:rPr>
        <w:t xml:space="preserve"> it clarified that:</w:t>
      </w:r>
      <w:r>
        <w:rPr>
          <w:vertAlign w:val="superscript"/>
          <w:lang w:eastAsia="en-NZ"/>
        </w:rPr>
        <w:footnoteReference w:id="8"/>
      </w:r>
    </w:p>
    <w:p w14:paraId="4986FA6D" w14:textId="77777777" w:rsidR="0016211D" w:rsidRPr="000D637B" w:rsidRDefault="0016211D" w:rsidP="0016211D">
      <w:pPr>
        <w:autoSpaceDE w:val="0"/>
        <w:autoSpaceDN w:val="0"/>
        <w:adjustRightInd w:val="0"/>
        <w:spacing w:after="360"/>
        <w:ind w:left="1134" w:right="567"/>
        <w:rPr>
          <w:rFonts w:cs="Calibri"/>
          <w:szCs w:val="22"/>
          <w:lang w:eastAsia="en-NZ"/>
        </w:rPr>
      </w:pPr>
      <w:r w:rsidRPr="000D637B">
        <w:rPr>
          <w:rFonts w:cs="Calibri"/>
          <w:szCs w:val="22"/>
          <w:lang w:eastAsia="en-NZ"/>
        </w:rPr>
        <w:t xml:space="preserve">[When] considering the gravity of the offence, the court should consider all the aggravating and mitigating factors relating to the offending and the offender; the court should then identify the direct and indirect consequences of conviction for the offender and consider whether those consequences are out of all proportion to the gravity of the offence; if the court determines they are out of all proportion, it must still consider whether it should exercise its residual discretion to grant a discharge (although, as this Court said in </w:t>
      </w:r>
      <w:r w:rsidRPr="000D637B">
        <w:rPr>
          <w:rFonts w:cs="Calibri"/>
          <w:i/>
          <w:szCs w:val="22"/>
          <w:lang w:eastAsia="en-NZ"/>
        </w:rPr>
        <w:t>Blythe</w:t>
      </w:r>
      <w:r w:rsidRPr="000D637B">
        <w:rPr>
          <w:rFonts w:cs="Calibri"/>
          <w:szCs w:val="22"/>
          <w:lang w:eastAsia="en-NZ"/>
        </w:rPr>
        <w:t xml:space="preserve">, it will be a rare case where a court will refuse to grant a discharge in such circumstances). </w:t>
      </w:r>
    </w:p>
    <w:p w14:paraId="5A42137E" w14:textId="77777777" w:rsidR="0016211D" w:rsidRPr="000D637B" w:rsidRDefault="0016211D" w:rsidP="0016211D">
      <w:pPr>
        <w:numPr>
          <w:ilvl w:val="0"/>
          <w:numId w:val="3"/>
        </w:numPr>
        <w:tabs>
          <w:tab w:val="clear" w:pos="851"/>
        </w:tabs>
        <w:autoSpaceDE w:val="0"/>
        <w:autoSpaceDN w:val="0"/>
        <w:adjustRightInd w:val="0"/>
        <w:spacing w:after="240" w:line="360" w:lineRule="auto"/>
        <w:ind w:left="567" w:hanging="567"/>
        <w:rPr>
          <w:rFonts w:cs="Calibri"/>
          <w:sz w:val="24"/>
          <w:szCs w:val="24"/>
          <w:lang w:eastAsia="en-NZ"/>
        </w:rPr>
      </w:pPr>
      <w:r w:rsidRPr="000D637B">
        <w:rPr>
          <w:rFonts w:cs="Calibri"/>
          <w:sz w:val="24"/>
          <w:szCs w:val="24"/>
          <w:lang w:eastAsia="en-NZ"/>
        </w:rPr>
        <w:t xml:space="preserve">In </w:t>
      </w:r>
      <w:r w:rsidRPr="000D637B">
        <w:rPr>
          <w:rFonts w:cs="Calibri"/>
          <w:i/>
          <w:iCs/>
          <w:sz w:val="24"/>
          <w:szCs w:val="24"/>
          <w:lang w:eastAsia="en-NZ"/>
        </w:rPr>
        <w:t xml:space="preserve">Hughes, </w:t>
      </w:r>
      <w:r w:rsidRPr="000D637B">
        <w:rPr>
          <w:rFonts w:cs="Calibri"/>
          <w:sz w:val="24"/>
          <w:szCs w:val="24"/>
          <w:lang w:eastAsia="en-NZ"/>
        </w:rPr>
        <w:t>the Court of Appeal affirmed that there is no onus of proof on the defendant to establish that the test of disproportionality has been met.</w:t>
      </w:r>
      <w:r>
        <w:rPr>
          <w:rFonts w:cs="Calibri"/>
          <w:sz w:val="24"/>
          <w:vertAlign w:val="superscript"/>
          <w:lang w:eastAsia="en-NZ"/>
        </w:rPr>
        <w:footnoteReference w:id="9"/>
      </w:r>
      <w:r w:rsidRPr="000D637B">
        <w:rPr>
          <w:rFonts w:cs="Calibri"/>
          <w:sz w:val="24"/>
          <w:szCs w:val="24"/>
          <w:lang w:eastAsia="en-NZ"/>
        </w:rPr>
        <w:t xml:space="preserve">  The Court in </w:t>
      </w:r>
      <w:r w:rsidRPr="000D637B">
        <w:rPr>
          <w:rFonts w:cs="Calibri"/>
          <w:i/>
          <w:sz w:val="24"/>
          <w:szCs w:val="24"/>
          <w:lang w:eastAsia="en-NZ"/>
        </w:rPr>
        <w:t>Blythe</w:t>
      </w:r>
      <w:r w:rsidRPr="000D637B">
        <w:rPr>
          <w:rFonts w:cs="Calibri"/>
          <w:sz w:val="24"/>
          <w:szCs w:val="24"/>
          <w:lang w:eastAsia="en-NZ"/>
        </w:rPr>
        <w:t xml:space="preserve"> observed that a favourable exercise of discretion is likely to follow a finding that the s 107 test has been met. The Court said:</w:t>
      </w:r>
      <w:r>
        <w:rPr>
          <w:rFonts w:cs="Calibri"/>
          <w:sz w:val="24"/>
          <w:vertAlign w:val="superscript"/>
          <w:lang w:eastAsia="en-NZ"/>
        </w:rPr>
        <w:footnoteReference w:id="10"/>
      </w:r>
    </w:p>
    <w:p w14:paraId="33F2B831" w14:textId="77777777" w:rsidR="006E4A55" w:rsidRPr="0016211D" w:rsidRDefault="0016211D" w:rsidP="0016211D">
      <w:pPr>
        <w:autoSpaceDE w:val="0"/>
        <w:autoSpaceDN w:val="0"/>
        <w:adjustRightInd w:val="0"/>
        <w:spacing w:before="120" w:after="360"/>
        <w:ind w:left="1134" w:right="567"/>
        <w:rPr>
          <w:rFonts w:cs="Calibri"/>
          <w:szCs w:val="22"/>
          <w:lang w:eastAsia="en-NZ"/>
        </w:rPr>
      </w:pPr>
      <w:r w:rsidRPr="000D637B">
        <w:rPr>
          <w:rFonts w:cs="Calibri"/>
          <w:szCs w:val="22"/>
          <w:lang w:eastAsia="en-NZ"/>
        </w:rPr>
        <w:t xml:space="preserve">[It] will be a rare case where an offender has passed through the </w:t>
      </w:r>
      <w:r w:rsidRPr="000D637B">
        <w:rPr>
          <w:rFonts w:cs="Calibri"/>
          <w:szCs w:val="22"/>
          <w:lang w:eastAsia="en-NZ"/>
        </w:rPr>
        <w:br/>
        <w:t>s 107 'gateway' then not discharged under [s 106].</w:t>
      </w:r>
    </w:p>
    <w:p w14:paraId="01910D77" w14:textId="77777777" w:rsidR="006E4A55" w:rsidRPr="006E4A55" w:rsidRDefault="006E4A55" w:rsidP="006E4A55">
      <w:pPr>
        <w:tabs>
          <w:tab w:val="left" w:pos="6237"/>
        </w:tabs>
        <w:ind w:left="1134" w:right="-30"/>
        <w:rPr>
          <w:rFonts w:cs="Calibri"/>
          <w:szCs w:val="22"/>
          <w:lang w:val="en-AU"/>
        </w:rPr>
      </w:pPr>
    </w:p>
    <w:p w14:paraId="34BE43A8" w14:textId="77777777" w:rsidR="0016211D" w:rsidRDefault="007F607D" w:rsidP="0016211D">
      <w:pPr>
        <w:autoSpaceDE w:val="0"/>
        <w:autoSpaceDN w:val="0"/>
        <w:adjustRightInd w:val="0"/>
        <w:spacing w:line="360" w:lineRule="auto"/>
        <w:contextualSpacing/>
        <w:rPr>
          <w:rFonts w:cs="Calibri"/>
          <w:b/>
          <w:sz w:val="24"/>
          <w:szCs w:val="24"/>
          <w:lang w:eastAsia="en-NZ"/>
        </w:rPr>
      </w:pPr>
      <w:r w:rsidRPr="000D637B">
        <w:rPr>
          <w:rFonts w:cs="Calibri"/>
          <w:b/>
          <w:sz w:val="24"/>
          <w:szCs w:val="24"/>
          <w:lang w:eastAsia="en-NZ"/>
        </w:rPr>
        <w:t>Gravity of the offending</w:t>
      </w:r>
    </w:p>
    <w:p w14:paraId="02364B12" w14:textId="77777777" w:rsidR="0016211D" w:rsidRPr="0016211D" w:rsidRDefault="0016211D" w:rsidP="0016211D">
      <w:pPr>
        <w:autoSpaceDE w:val="0"/>
        <w:autoSpaceDN w:val="0"/>
        <w:adjustRightInd w:val="0"/>
        <w:spacing w:line="360" w:lineRule="auto"/>
        <w:contextualSpacing/>
        <w:rPr>
          <w:rFonts w:cs="Calibri"/>
          <w:b/>
          <w:sz w:val="24"/>
          <w:szCs w:val="24"/>
          <w:lang w:eastAsia="en-NZ"/>
        </w:rPr>
      </w:pPr>
    </w:p>
    <w:p w14:paraId="77EA91A5" w14:textId="77777777" w:rsidR="0016211D" w:rsidRDefault="0016211D" w:rsidP="0016211D">
      <w:pPr>
        <w:numPr>
          <w:ilvl w:val="0"/>
          <w:numId w:val="3"/>
        </w:numPr>
        <w:spacing w:after="240" w:line="360" w:lineRule="auto"/>
        <w:rPr>
          <w:sz w:val="24"/>
          <w:szCs w:val="24"/>
        </w:rPr>
      </w:pPr>
      <w:r>
        <w:rPr>
          <w:sz w:val="24"/>
          <w:szCs w:val="24"/>
        </w:rPr>
        <w:t>When considering whether the particular facts of the case pass through the ‘gateway’ of section 107 and allow a section 106 discharge without conviction to be granted, the Court must consider the gravity of the offending.</w:t>
      </w:r>
    </w:p>
    <w:p w14:paraId="7CE24D8E" w14:textId="77777777" w:rsidR="0016211D" w:rsidRDefault="0016211D" w:rsidP="0016211D">
      <w:pPr>
        <w:numPr>
          <w:ilvl w:val="0"/>
          <w:numId w:val="3"/>
        </w:numPr>
        <w:spacing w:after="240" w:line="360" w:lineRule="auto"/>
        <w:rPr>
          <w:sz w:val="24"/>
          <w:szCs w:val="24"/>
        </w:rPr>
      </w:pPr>
      <w:r>
        <w:rPr>
          <w:sz w:val="24"/>
          <w:szCs w:val="24"/>
        </w:rPr>
        <w:t xml:space="preserve">It was stated in </w:t>
      </w:r>
      <w:r>
        <w:rPr>
          <w:i/>
          <w:sz w:val="24"/>
          <w:szCs w:val="24"/>
        </w:rPr>
        <w:t>Delaney v Police</w:t>
      </w:r>
      <w:r>
        <w:rPr>
          <w:rStyle w:val="FootnoteReference"/>
          <w:i/>
          <w:sz w:val="24"/>
          <w:szCs w:val="24"/>
        </w:rPr>
        <w:footnoteReference w:id="11"/>
      </w:r>
      <w:r>
        <w:rPr>
          <w:i/>
          <w:sz w:val="24"/>
          <w:szCs w:val="24"/>
        </w:rPr>
        <w:t xml:space="preserve"> </w:t>
      </w:r>
      <w:r>
        <w:rPr>
          <w:sz w:val="24"/>
          <w:szCs w:val="24"/>
        </w:rPr>
        <w:t>that the words “gravity of offence” are to be read as:</w:t>
      </w:r>
    </w:p>
    <w:p w14:paraId="10C63B66" w14:textId="77777777" w:rsidR="0016211D" w:rsidRPr="00193751" w:rsidRDefault="0016211D" w:rsidP="0016211D">
      <w:pPr>
        <w:spacing w:after="240" w:line="360" w:lineRule="auto"/>
        <w:ind w:left="851"/>
        <w:rPr>
          <w:szCs w:val="24"/>
        </w:rPr>
      </w:pPr>
      <w:r w:rsidRPr="00193751">
        <w:rPr>
          <w:szCs w:val="24"/>
        </w:rPr>
        <w:lastRenderedPageBreak/>
        <w:t>…including not only the offence itself but also anything that may affect the Court’s subsequent assessment of overall culpability. That includes guilty pleas, expressions of remorse and Court’s assessment of how likely it is that the offender will reoffend, the victim’s perspective, and any consequence already suffered by way of reparation, community work, or publicity.</w:t>
      </w:r>
    </w:p>
    <w:p w14:paraId="1FE16071" w14:textId="77777777" w:rsidR="0016211D" w:rsidRDefault="0016211D" w:rsidP="0016211D">
      <w:pPr>
        <w:numPr>
          <w:ilvl w:val="0"/>
          <w:numId w:val="3"/>
        </w:numPr>
        <w:spacing w:after="240" w:line="360" w:lineRule="auto"/>
        <w:rPr>
          <w:sz w:val="24"/>
          <w:szCs w:val="24"/>
        </w:rPr>
      </w:pPr>
      <w:r>
        <w:rPr>
          <w:sz w:val="24"/>
          <w:szCs w:val="24"/>
        </w:rPr>
        <w:t>It is accepted that a breach of protection order can be a serious offence as these orders are generally put in place for a valid reason. However, i</w:t>
      </w:r>
      <w:r w:rsidRPr="00EC77E9">
        <w:rPr>
          <w:sz w:val="24"/>
          <w:szCs w:val="24"/>
        </w:rPr>
        <w:t>t is submitted that the gravity of the offending is at the lower end for this type of offending.</w:t>
      </w:r>
      <w:r>
        <w:rPr>
          <w:sz w:val="24"/>
          <w:szCs w:val="24"/>
        </w:rPr>
        <w:t xml:space="preserve"> </w:t>
      </w:r>
      <w:r w:rsidRPr="00353F25">
        <w:rPr>
          <w:sz w:val="24"/>
          <w:szCs w:val="24"/>
        </w:rPr>
        <w:t>The following factors are submitted as relevant for consideration in this case when assessing the gravity of the offen</w:t>
      </w:r>
      <w:r>
        <w:rPr>
          <w:sz w:val="24"/>
          <w:szCs w:val="24"/>
        </w:rPr>
        <w:t>ding</w:t>
      </w:r>
      <w:r w:rsidRPr="00353F25">
        <w:rPr>
          <w:sz w:val="24"/>
          <w:szCs w:val="24"/>
        </w:rPr>
        <w:t>:</w:t>
      </w:r>
    </w:p>
    <w:p w14:paraId="243DA538" w14:textId="1842BF28" w:rsidR="0016211D" w:rsidRDefault="00BD3562" w:rsidP="0016211D">
      <w:pPr>
        <w:numPr>
          <w:ilvl w:val="1"/>
          <w:numId w:val="3"/>
        </w:numPr>
        <w:spacing w:after="240" w:line="360" w:lineRule="auto"/>
        <w:rPr>
          <w:sz w:val="24"/>
          <w:szCs w:val="24"/>
        </w:rPr>
      </w:pPr>
      <w:r>
        <w:rPr>
          <w:sz w:val="24"/>
          <w:szCs w:val="24"/>
        </w:rPr>
        <w:t>Th nature of the charge</w:t>
      </w:r>
    </w:p>
    <w:p w14:paraId="6BF82AD6" w14:textId="77777777" w:rsidR="0016211D" w:rsidRDefault="0016211D" w:rsidP="0016211D">
      <w:pPr>
        <w:numPr>
          <w:ilvl w:val="1"/>
          <w:numId w:val="3"/>
        </w:numPr>
        <w:spacing w:after="240" w:line="360" w:lineRule="auto"/>
        <w:rPr>
          <w:sz w:val="24"/>
          <w:szCs w:val="24"/>
        </w:rPr>
      </w:pPr>
      <w:r>
        <w:rPr>
          <w:sz w:val="24"/>
          <w:szCs w:val="24"/>
        </w:rPr>
        <w:t>The circumstances of the offending</w:t>
      </w:r>
    </w:p>
    <w:p w14:paraId="2A903740" w14:textId="7565E149" w:rsidR="0016211D" w:rsidRDefault="0016211D" w:rsidP="0016211D">
      <w:pPr>
        <w:numPr>
          <w:ilvl w:val="1"/>
          <w:numId w:val="3"/>
        </w:numPr>
        <w:spacing w:after="240" w:line="360" w:lineRule="auto"/>
        <w:rPr>
          <w:sz w:val="24"/>
          <w:szCs w:val="24"/>
        </w:rPr>
      </w:pPr>
      <w:r>
        <w:rPr>
          <w:sz w:val="24"/>
          <w:szCs w:val="24"/>
        </w:rPr>
        <w:t>Mr Solt has no previous convictions</w:t>
      </w:r>
      <w:r w:rsidR="000B7A3E">
        <w:rPr>
          <w:sz w:val="24"/>
          <w:szCs w:val="24"/>
        </w:rPr>
        <w:t xml:space="preserve"> </w:t>
      </w:r>
    </w:p>
    <w:p w14:paraId="79A44E1D" w14:textId="1446A648" w:rsidR="0016211D" w:rsidRPr="009A1BDF" w:rsidRDefault="0016211D" w:rsidP="0016211D">
      <w:pPr>
        <w:numPr>
          <w:ilvl w:val="1"/>
          <w:numId w:val="3"/>
        </w:numPr>
        <w:spacing w:after="240" w:line="360" w:lineRule="auto"/>
        <w:rPr>
          <w:sz w:val="24"/>
          <w:szCs w:val="24"/>
        </w:rPr>
      </w:pPr>
      <w:r w:rsidRPr="009A1BDF">
        <w:rPr>
          <w:sz w:val="24"/>
          <w:szCs w:val="24"/>
        </w:rPr>
        <w:t xml:space="preserve">Mr Solt pled guilty </w:t>
      </w:r>
      <w:r w:rsidR="000B7A3E" w:rsidRPr="009A1BDF">
        <w:rPr>
          <w:sz w:val="24"/>
          <w:szCs w:val="24"/>
        </w:rPr>
        <w:t>at an early opportunity</w:t>
      </w:r>
    </w:p>
    <w:p w14:paraId="2F55B3C2" w14:textId="60809226" w:rsidR="0016211D" w:rsidRDefault="0016211D" w:rsidP="0016211D">
      <w:pPr>
        <w:numPr>
          <w:ilvl w:val="1"/>
          <w:numId w:val="3"/>
        </w:numPr>
        <w:spacing w:after="240" w:line="360" w:lineRule="auto"/>
        <w:rPr>
          <w:sz w:val="24"/>
          <w:szCs w:val="24"/>
        </w:rPr>
      </w:pPr>
      <w:r>
        <w:rPr>
          <w:sz w:val="24"/>
          <w:szCs w:val="24"/>
        </w:rPr>
        <w:t>Mr Solt has been completing counselling to learn from the offending so that it is not repeated</w:t>
      </w:r>
    </w:p>
    <w:p w14:paraId="617F69D3" w14:textId="7E6F0D02" w:rsidR="00BD3562" w:rsidRPr="00704BAC" w:rsidRDefault="000B7A3E" w:rsidP="00704BAC">
      <w:pPr>
        <w:numPr>
          <w:ilvl w:val="1"/>
          <w:numId w:val="3"/>
        </w:numPr>
        <w:spacing w:after="240" w:line="360" w:lineRule="auto"/>
        <w:rPr>
          <w:sz w:val="24"/>
          <w:szCs w:val="24"/>
        </w:rPr>
      </w:pPr>
      <w:r>
        <w:rPr>
          <w:sz w:val="24"/>
          <w:szCs w:val="24"/>
        </w:rPr>
        <w:t>The protection order was a temporary protection order, and has not been made final.</w:t>
      </w:r>
    </w:p>
    <w:p w14:paraId="3BFE86E0" w14:textId="77777777" w:rsidR="00704BAC" w:rsidRDefault="00704BAC" w:rsidP="00704BAC">
      <w:pPr>
        <w:numPr>
          <w:ilvl w:val="0"/>
          <w:numId w:val="3"/>
        </w:numPr>
        <w:tabs>
          <w:tab w:val="clear" w:pos="851"/>
          <w:tab w:val="num" w:pos="567"/>
        </w:tabs>
        <w:autoSpaceDE w:val="0"/>
        <w:autoSpaceDN w:val="0"/>
        <w:adjustRightInd w:val="0"/>
        <w:spacing w:line="360" w:lineRule="auto"/>
        <w:ind w:left="567" w:hanging="567"/>
        <w:contextualSpacing/>
        <w:rPr>
          <w:rFonts w:cs="Calibri"/>
          <w:i/>
          <w:sz w:val="24"/>
          <w:szCs w:val="24"/>
          <w:lang w:eastAsia="en-NZ"/>
        </w:rPr>
      </w:pPr>
      <w:r>
        <w:rPr>
          <w:sz w:val="24"/>
        </w:rPr>
        <w:t xml:space="preserve">Breaches of a protection order can vary widely in terms of severity. </w:t>
      </w:r>
      <w:r w:rsidR="0016211D" w:rsidRPr="00BD3562">
        <w:rPr>
          <w:sz w:val="24"/>
        </w:rPr>
        <w:t xml:space="preserve">In </w:t>
      </w:r>
      <w:r w:rsidR="0016211D" w:rsidRPr="00BD3562">
        <w:rPr>
          <w:i/>
          <w:sz w:val="24"/>
        </w:rPr>
        <w:t>W v Police</w:t>
      </w:r>
      <w:r w:rsidR="0016211D" w:rsidRPr="00B20F56">
        <w:rPr>
          <w:rStyle w:val="FootnoteReference"/>
          <w:sz w:val="24"/>
        </w:rPr>
        <w:footnoteReference w:id="12"/>
      </w:r>
      <w:r w:rsidR="0016211D" w:rsidRPr="00BD3562">
        <w:rPr>
          <w:sz w:val="24"/>
        </w:rPr>
        <w:t>, the appellant pleaded guilty to one charge of breach of protection order for sending unsolicited text messages. The District Court Judge found that, while the breach itself was not the worst and sat at the higher end of a low-level breach, the Court was required to uphold the integrity of protection orders and declined the application for discharge without conviction. The appellant was convicted and discharged</w:t>
      </w:r>
      <w:r w:rsidR="0016211D">
        <w:t>.</w:t>
      </w:r>
    </w:p>
    <w:p w14:paraId="5C14EA9A" w14:textId="77777777" w:rsidR="00704BAC" w:rsidRPr="00704BAC" w:rsidRDefault="00704BAC" w:rsidP="00704BAC">
      <w:pPr>
        <w:autoSpaceDE w:val="0"/>
        <w:autoSpaceDN w:val="0"/>
        <w:adjustRightInd w:val="0"/>
        <w:spacing w:line="360" w:lineRule="auto"/>
        <w:ind w:left="567"/>
        <w:contextualSpacing/>
        <w:rPr>
          <w:rFonts w:cs="Calibri"/>
          <w:i/>
          <w:sz w:val="24"/>
          <w:szCs w:val="24"/>
          <w:lang w:eastAsia="en-NZ"/>
        </w:rPr>
      </w:pPr>
    </w:p>
    <w:p w14:paraId="6F670020" w14:textId="786E0D5B" w:rsidR="0016211D" w:rsidRPr="00AF7230" w:rsidRDefault="0016211D" w:rsidP="00704BAC">
      <w:pPr>
        <w:numPr>
          <w:ilvl w:val="0"/>
          <w:numId w:val="3"/>
        </w:numPr>
        <w:tabs>
          <w:tab w:val="clear" w:pos="851"/>
          <w:tab w:val="num" w:pos="567"/>
        </w:tabs>
        <w:autoSpaceDE w:val="0"/>
        <w:autoSpaceDN w:val="0"/>
        <w:adjustRightInd w:val="0"/>
        <w:spacing w:line="360" w:lineRule="auto"/>
        <w:ind w:left="567" w:hanging="567"/>
        <w:contextualSpacing/>
        <w:rPr>
          <w:rFonts w:cs="Calibri"/>
          <w:i/>
          <w:sz w:val="24"/>
          <w:szCs w:val="24"/>
          <w:lang w:eastAsia="en-NZ"/>
        </w:rPr>
      </w:pPr>
      <w:r w:rsidRPr="00704BAC">
        <w:rPr>
          <w:sz w:val="24"/>
        </w:rPr>
        <w:t xml:space="preserve">On appeal, the High Court found the Judge erred when assessing the gravity of the offending, and that it is not the case that every breach of a </w:t>
      </w:r>
      <w:r w:rsidRPr="00704BAC">
        <w:rPr>
          <w:sz w:val="24"/>
        </w:rPr>
        <w:lastRenderedPageBreak/>
        <w:t>protection order is serious requiring the Court to uphold its integrity by entering a conviction. The High Court found th</w:t>
      </w:r>
      <w:r w:rsidR="00AF7230">
        <w:rPr>
          <w:sz w:val="24"/>
        </w:rPr>
        <w:t>at</w:t>
      </w:r>
      <w:r w:rsidRPr="00704BAC">
        <w:rPr>
          <w:sz w:val="24"/>
        </w:rPr>
        <w:t xml:space="preserve"> persistent texting was very much at the low end of seriousness for this kind of offending.</w:t>
      </w:r>
    </w:p>
    <w:p w14:paraId="370D6756" w14:textId="77777777" w:rsidR="00AF7230" w:rsidRDefault="00AF7230" w:rsidP="00AF7230">
      <w:pPr>
        <w:pStyle w:val="ListParagraph"/>
        <w:rPr>
          <w:rFonts w:cs="Calibri"/>
          <w:i/>
          <w:sz w:val="24"/>
          <w:szCs w:val="24"/>
          <w:lang w:eastAsia="en-NZ"/>
        </w:rPr>
      </w:pPr>
    </w:p>
    <w:p w14:paraId="6D176F15" w14:textId="77777777" w:rsidR="00AF7230" w:rsidRPr="00704BAC" w:rsidRDefault="00AF7230" w:rsidP="00AF7230">
      <w:pPr>
        <w:autoSpaceDE w:val="0"/>
        <w:autoSpaceDN w:val="0"/>
        <w:adjustRightInd w:val="0"/>
        <w:spacing w:line="360" w:lineRule="auto"/>
        <w:ind w:left="567"/>
        <w:contextualSpacing/>
        <w:rPr>
          <w:rFonts w:cs="Calibri"/>
          <w:i/>
          <w:sz w:val="24"/>
          <w:szCs w:val="24"/>
          <w:lang w:eastAsia="en-NZ"/>
        </w:rPr>
      </w:pPr>
    </w:p>
    <w:p w14:paraId="07A8F8F6" w14:textId="575633A0" w:rsidR="0016211D" w:rsidRPr="001C7A5B" w:rsidRDefault="00EF48D8" w:rsidP="000109A3">
      <w:pPr>
        <w:numPr>
          <w:ilvl w:val="0"/>
          <w:numId w:val="3"/>
        </w:numPr>
        <w:tabs>
          <w:tab w:val="clear" w:pos="851"/>
          <w:tab w:val="num" w:pos="567"/>
        </w:tabs>
        <w:autoSpaceDE w:val="0"/>
        <w:autoSpaceDN w:val="0"/>
        <w:adjustRightInd w:val="0"/>
        <w:spacing w:line="360" w:lineRule="auto"/>
        <w:ind w:left="567" w:hanging="567"/>
        <w:contextualSpacing/>
        <w:rPr>
          <w:rFonts w:cs="Calibri"/>
          <w:sz w:val="24"/>
          <w:szCs w:val="24"/>
        </w:rPr>
      </w:pPr>
      <w:r>
        <w:rPr>
          <w:rFonts w:cs="Calibri"/>
          <w:sz w:val="24"/>
          <w:szCs w:val="24"/>
          <w:lang w:eastAsia="en-NZ"/>
        </w:rPr>
        <w:t>It is accepted that b</w:t>
      </w:r>
      <w:r w:rsidR="007B60C3">
        <w:rPr>
          <w:rFonts w:cs="Calibri"/>
          <w:sz w:val="24"/>
          <w:szCs w:val="24"/>
          <w:lang w:eastAsia="en-NZ"/>
        </w:rPr>
        <w:t>reaches of protection order are moderately serious offences, but</w:t>
      </w:r>
      <w:r w:rsidR="00C02EBB">
        <w:rPr>
          <w:rFonts w:cs="Calibri"/>
          <w:sz w:val="24"/>
          <w:szCs w:val="24"/>
          <w:lang w:eastAsia="en-NZ"/>
        </w:rPr>
        <w:t xml:space="preserve"> it is submitted that</w:t>
      </w:r>
      <w:r w:rsidR="007B60C3">
        <w:rPr>
          <w:rFonts w:cs="Calibri"/>
          <w:sz w:val="24"/>
          <w:szCs w:val="24"/>
          <w:lang w:eastAsia="en-NZ"/>
        </w:rPr>
        <w:t xml:space="preserve"> Mr Solt’s breach was at the lowest end of the spectrum</w:t>
      </w:r>
      <w:r w:rsidR="000109A3">
        <w:rPr>
          <w:rFonts w:cs="Calibri"/>
          <w:sz w:val="24"/>
          <w:szCs w:val="24"/>
          <w:lang w:eastAsia="en-NZ"/>
        </w:rPr>
        <w:t xml:space="preserve">, and lower than that in </w:t>
      </w:r>
      <w:r w:rsidR="000109A3" w:rsidRPr="000109A3">
        <w:rPr>
          <w:rFonts w:cs="Calibri"/>
          <w:i/>
          <w:sz w:val="24"/>
          <w:szCs w:val="24"/>
          <w:lang w:eastAsia="en-NZ"/>
        </w:rPr>
        <w:t>W v Police.</w:t>
      </w:r>
    </w:p>
    <w:p w14:paraId="2107575F" w14:textId="77777777" w:rsidR="001C7A5B" w:rsidRPr="0016211D" w:rsidRDefault="001C7A5B" w:rsidP="001C7A5B">
      <w:pPr>
        <w:autoSpaceDE w:val="0"/>
        <w:autoSpaceDN w:val="0"/>
        <w:adjustRightInd w:val="0"/>
        <w:spacing w:line="360" w:lineRule="auto"/>
        <w:ind w:left="567"/>
        <w:contextualSpacing/>
        <w:rPr>
          <w:rFonts w:cs="Calibri"/>
          <w:sz w:val="24"/>
          <w:szCs w:val="24"/>
        </w:rPr>
      </w:pPr>
    </w:p>
    <w:p w14:paraId="7863B2BB" w14:textId="0916CEF5" w:rsidR="000D637B" w:rsidRDefault="00CB15A9" w:rsidP="000D637B">
      <w:pPr>
        <w:numPr>
          <w:ilvl w:val="0"/>
          <w:numId w:val="3"/>
        </w:numPr>
        <w:tabs>
          <w:tab w:val="clear" w:pos="851"/>
          <w:tab w:val="num" w:pos="567"/>
        </w:tabs>
        <w:autoSpaceDE w:val="0"/>
        <w:autoSpaceDN w:val="0"/>
        <w:adjustRightInd w:val="0"/>
        <w:spacing w:line="360" w:lineRule="auto"/>
        <w:ind w:left="567" w:hanging="567"/>
        <w:contextualSpacing/>
        <w:rPr>
          <w:rFonts w:cs="Calibri"/>
          <w:sz w:val="24"/>
          <w:szCs w:val="24"/>
          <w:lang w:eastAsia="en-NZ"/>
        </w:rPr>
      </w:pPr>
      <w:r>
        <w:rPr>
          <w:rFonts w:cs="Calibri"/>
          <w:sz w:val="24"/>
          <w:szCs w:val="24"/>
          <w:lang w:eastAsia="en-NZ"/>
        </w:rPr>
        <w:t>Mr Solt</w:t>
      </w:r>
      <w:r w:rsidR="007B60C3">
        <w:rPr>
          <w:rFonts w:cs="Calibri"/>
          <w:sz w:val="24"/>
          <w:szCs w:val="24"/>
          <w:lang w:eastAsia="en-NZ"/>
        </w:rPr>
        <w:t xml:space="preserve"> was nowhere near the </w:t>
      </w:r>
      <w:r>
        <w:rPr>
          <w:rFonts w:cs="Calibri"/>
          <w:sz w:val="24"/>
          <w:szCs w:val="24"/>
          <w:lang w:eastAsia="en-NZ"/>
        </w:rPr>
        <w:t xml:space="preserve">protected person </w:t>
      </w:r>
      <w:r w:rsidR="007B60C3">
        <w:rPr>
          <w:rFonts w:cs="Calibri"/>
          <w:sz w:val="24"/>
          <w:szCs w:val="24"/>
          <w:lang w:eastAsia="en-NZ"/>
        </w:rPr>
        <w:t>when the offending occurred</w:t>
      </w:r>
      <w:r w:rsidR="00AB7A45">
        <w:rPr>
          <w:rFonts w:cs="Calibri"/>
          <w:sz w:val="24"/>
          <w:szCs w:val="24"/>
          <w:lang w:eastAsia="en-NZ"/>
        </w:rPr>
        <w:t xml:space="preserve">, and while </w:t>
      </w:r>
      <w:r w:rsidR="001C7A5B">
        <w:rPr>
          <w:rFonts w:cs="Calibri"/>
          <w:sz w:val="24"/>
          <w:szCs w:val="24"/>
          <w:lang w:eastAsia="en-NZ"/>
        </w:rPr>
        <w:t xml:space="preserve">he </w:t>
      </w:r>
      <w:r w:rsidR="00704BAC">
        <w:rPr>
          <w:rFonts w:cs="Calibri"/>
          <w:sz w:val="24"/>
          <w:szCs w:val="24"/>
          <w:lang w:eastAsia="en-NZ"/>
        </w:rPr>
        <w:t>breached</w:t>
      </w:r>
      <w:r w:rsidR="001C7A5B">
        <w:rPr>
          <w:rFonts w:cs="Calibri"/>
          <w:sz w:val="24"/>
          <w:szCs w:val="24"/>
          <w:lang w:eastAsia="en-NZ"/>
        </w:rPr>
        <w:t xml:space="preserve"> the protection order on the day of the offending</w:t>
      </w:r>
      <w:r w:rsidR="00AB7A45">
        <w:rPr>
          <w:rFonts w:cs="Calibri"/>
          <w:sz w:val="24"/>
          <w:szCs w:val="24"/>
          <w:lang w:eastAsia="en-NZ"/>
        </w:rPr>
        <w:t>, there were a number of other factors going on in the background that affected Mr Solt’s decision on that day</w:t>
      </w:r>
      <w:r w:rsidR="00AF7230">
        <w:rPr>
          <w:rFonts w:cs="Calibri"/>
          <w:sz w:val="24"/>
          <w:szCs w:val="24"/>
          <w:lang w:eastAsia="en-NZ"/>
        </w:rPr>
        <w:t>, regarding risks to his safety having been assaulted the previous day</w:t>
      </w:r>
      <w:r w:rsidR="00704BAC">
        <w:rPr>
          <w:rFonts w:cs="Calibri"/>
          <w:sz w:val="24"/>
          <w:szCs w:val="24"/>
          <w:lang w:eastAsia="en-NZ"/>
        </w:rPr>
        <w:t>.</w:t>
      </w:r>
    </w:p>
    <w:p w14:paraId="6AD8A408" w14:textId="77777777" w:rsidR="001C7A5B" w:rsidRDefault="001C7A5B" w:rsidP="001C7A5B">
      <w:pPr>
        <w:pStyle w:val="ListParagraph"/>
        <w:rPr>
          <w:rFonts w:cs="Calibri"/>
          <w:sz w:val="24"/>
          <w:szCs w:val="24"/>
          <w:lang w:eastAsia="en-NZ"/>
        </w:rPr>
      </w:pPr>
    </w:p>
    <w:p w14:paraId="72EC35CB" w14:textId="4B0E4CFE" w:rsidR="001C7A5B" w:rsidRDefault="001C7A5B" w:rsidP="000D637B">
      <w:pPr>
        <w:numPr>
          <w:ilvl w:val="0"/>
          <w:numId w:val="3"/>
        </w:numPr>
        <w:tabs>
          <w:tab w:val="clear" w:pos="851"/>
          <w:tab w:val="num" w:pos="567"/>
        </w:tabs>
        <w:autoSpaceDE w:val="0"/>
        <w:autoSpaceDN w:val="0"/>
        <w:adjustRightInd w:val="0"/>
        <w:spacing w:line="360" w:lineRule="auto"/>
        <w:ind w:left="567" w:hanging="567"/>
        <w:contextualSpacing/>
        <w:rPr>
          <w:rFonts w:cs="Calibri"/>
          <w:sz w:val="24"/>
          <w:szCs w:val="24"/>
          <w:lang w:eastAsia="en-NZ"/>
        </w:rPr>
      </w:pPr>
      <w:r>
        <w:rPr>
          <w:rFonts w:cs="Calibri"/>
          <w:sz w:val="24"/>
          <w:szCs w:val="24"/>
          <w:lang w:eastAsia="en-NZ"/>
        </w:rPr>
        <w:t xml:space="preserve">The temporary protection order has </w:t>
      </w:r>
      <w:r w:rsidR="00704BAC">
        <w:rPr>
          <w:rFonts w:cs="Calibri"/>
          <w:sz w:val="24"/>
          <w:szCs w:val="24"/>
          <w:lang w:eastAsia="en-NZ"/>
        </w:rPr>
        <w:t xml:space="preserve">not been made final. This both indicates that this offending is not part of a broader pattern of behaviour, and that offending of this sort is not likely to happen again, as Mr </w:t>
      </w:r>
      <w:proofErr w:type="spellStart"/>
      <w:r w:rsidR="00704BAC">
        <w:rPr>
          <w:rFonts w:cs="Calibri"/>
          <w:sz w:val="24"/>
          <w:szCs w:val="24"/>
          <w:lang w:eastAsia="en-NZ"/>
        </w:rPr>
        <w:t>S</w:t>
      </w:r>
      <w:r w:rsidR="00AF7230">
        <w:rPr>
          <w:rFonts w:cs="Calibri"/>
          <w:sz w:val="24"/>
          <w:szCs w:val="24"/>
          <w:lang w:eastAsia="en-NZ"/>
        </w:rPr>
        <w:t>o</w:t>
      </w:r>
      <w:r w:rsidR="00704BAC">
        <w:rPr>
          <w:rFonts w:cs="Calibri"/>
          <w:sz w:val="24"/>
          <w:szCs w:val="24"/>
          <w:lang w:eastAsia="en-NZ"/>
        </w:rPr>
        <w:t>lt</w:t>
      </w:r>
      <w:proofErr w:type="spellEnd"/>
      <w:r w:rsidR="00704BAC">
        <w:rPr>
          <w:rFonts w:cs="Calibri"/>
          <w:sz w:val="24"/>
          <w:szCs w:val="24"/>
          <w:lang w:eastAsia="en-NZ"/>
        </w:rPr>
        <w:t xml:space="preserve"> is not the respondent of any current protection orders. </w:t>
      </w:r>
    </w:p>
    <w:p w14:paraId="53019136" w14:textId="77777777" w:rsidR="001C7A5B" w:rsidRDefault="001C7A5B" w:rsidP="001C7A5B">
      <w:pPr>
        <w:pStyle w:val="ListParagraph"/>
        <w:rPr>
          <w:rFonts w:cs="Calibri"/>
          <w:sz w:val="24"/>
          <w:szCs w:val="24"/>
          <w:lang w:eastAsia="en-NZ"/>
        </w:rPr>
      </w:pPr>
    </w:p>
    <w:p w14:paraId="096F6254" w14:textId="7774C962" w:rsidR="000D637B" w:rsidRDefault="001C7A5B" w:rsidP="00704BAC">
      <w:pPr>
        <w:numPr>
          <w:ilvl w:val="0"/>
          <w:numId w:val="3"/>
        </w:numPr>
        <w:tabs>
          <w:tab w:val="clear" w:pos="851"/>
          <w:tab w:val="num" w:pos="567"/>
        </w:tabs>
        <w:autoSpaceDE w:val="0"/>
        <w:autoSpaceDN w:val="0"/>
        <w:adjustRightInd w:val="0"/>
        <w:spacing w:line="360" w:lineRule="auto"/>
        <w:ind w:left="567" w:hanging="567"/>
        <w:contextualSpacing/>
        <w:rPr>
          <w:rFonts w:cs="Calibri"/>
          <w:sz w:val="24"/>
          <w:szCs w:val="24"/>
        </w:rPr>
      </w:pPr>
      <w:r>
        <w:rPr>
          <w:rFonts w:cs="Calibri"/>
          <w:sz w:val="24"/>
          <w:szCs w:val="24"/>
          <w:lang w:eastAsia="en-NZ"/>
        </w:rPr>
        <w:t xml:space="preserve">Mr </w:t>
      </w:r>
      <w:proofErr w:type="spellStart"/>
      <w:r>
        <w:rPr>
          <w:rFonts w:cs="Calibri"/>
          <w:sz w:val="24"/>
          <w:szCs w:val="24"/>
          <w:lang w:eastAsia="en-NZ"/>
        </w:rPr>
        <w:t>Solt</w:t>
      </w:r>
      <w:proofErr w:type="spellEnd"/>
      <w:r>
        <w:rPr>
          <w:rFonts w:cs="Calibri"/>
          <w:sz w:val="24"/>
          <w:szCs w:val="24"/>
          <w:lang w:eastAsia="en-NZ"/>
        </w:rPr>
        <w:t xml:space="preserve"> has also participated in counselling since the offending in question</w:t>
      </w:r>
      <w:r w:rsidR="00704BAC">
        <w:rPr>
          <w:rFonts w:cs="Calibri"/>
          <w:sz w:val="24"/>
          <w:szCs w:val="24"/>
          <w:lang w:eastAsia="en-NZ"/>
        </w:rPr>
        <w:t>.</w:t>
      </w:r>
    </w:p>
    <w:p w14:paraId="084B6B9B" w14:textId="77777777" w:rsidR="00704BAC" w:rsidRDefault="00704BAC" w:rsidP="00704BAC">
      <w:pPr>
        <w:pStyle w:val="ListParagraph"/>
        <w:rPr>
          <w:rFonts w:cs="Calibri"/>
          <w:sz w:val="24"/>
          <w:szCs w:val="24"/>
        </w:rPr>
      </w:pPr>
    </w:p>
    <w:p w14:paraId="4830539B" w14:textId="73892E85" w:rsidR="00453468" w:rsidRPr="00453468" w:rsidRDefault="00704BAC" w:rsidP="00453468">
      <w:pPr>
        <w:numPr>
          <w:ilvl w:val="0"/>
          <w:numId w:val="3"/>
        </w:numPr>
        <w:tabs>
          <w:tab w:val="clear" w:pos="851"/>
          <w:tab w:val="num" w:pos="567"/>
        </w:tabs>
        <w:autoSpaceDE w:val="0"/>
        <w:autoSpaceDN w:val="0"/>
        <w:adjustRightInd w:val="0"/>
        <w:spacing w:line="360" w:lineRule="auto"/>
        <w:ind w:left="567" w:hanging="567"/>
        <w:contextualSpacing/>
        <w:rPr>
          <w:rFonts w:cs="Calibri"/>
          <w:sz w:val="24"/>
          <w:szCs w:val="24"/>
        </w:rPr>
      </w:pPr>
      <w:r>
        <w:rPr>
          <w:rFonts w:cs="Calibri"/>
          <w:sz w:val="24"/>
          <w:szCs w:val="24"/>
        </w:rPr>
        <w:t xml:space="preserve">It is submitted that all of these factors make it very unlikely that Mr </w:t>
      </w:r>
      <w:proofErr w:type="spellStart"/>
      <w:r>
        <w:rPr>
          <w:rFonts w:cs="Calibri"/>
          <w:sz w:val="24"/>
          <w:szCs w:val="24"/>
        </w:rPr>
        <w:t>So</w:t>
      </w:r>
      <w:r w:rsidR="00453468">
        <w:rPr>
          <w:rFonts w:cs="Calibri"/>
          <w:sz w:val="24"/>
          <w:szCs w:val="24"/>
        </w:rPr>
        <w:t>lt</w:t>
      </w:r>
      <w:proofErr w:type="spellEnd"/>
      <w:r w:rsidR="00453468">
        <w:rPr>
          <w:rFonts w:cs="Calibri"/>
          <w:sz w:val="24"/>
          <w:szCs w:val="24"/>
        </w:rPr>
        <w:t xml:space="preserve"> will reoffend in this way, or at all, and that </w:t>
      </w:r>
      <w:r w:rsidR="00120148">
        <w:rPr>
          <w:rFonts w:cs="Calibri"/>
          <w:sz w:val="24"/>
          <w:szCs w:val="24"/>
        </w:rPr>
        <w:t>these steps he has taken to avoid any risk of reoffending also serve to lower the gravity of his offending to very low.</w:t>
      </w:r>
    </w:p>
    <w:p w14:paraId="111BEFAF" w14:textId="77777777" w:rsidR="00BF6ED1" w:rsidRPr="000D637B" w:rsidRDefault="00BF6ED1" w:rsidP="00BF6ED1">
      <w:pPr>
        <w:spacing w:line="360" w:lineRule="auto"/>
        <w:contextualSpacing/>
        <w:rPr>
          <w:rFonts w:cs="Calibri"/>
          <w:b/>
          <w:sz w:val="24"/>
          <w:szCs w:val="24"/>
          <w:lang w:val="en-AU"/>
        </w:rPr>
      </w:pPr>
      <w:r w:rsidRPr="000D637B">
        <w:rPr>
          <w:rFonts w:cs="Calibri"/>
          <w:b/>
          <w:sz w:val="24"/>
          <w:szCs w:val="24"/>
          <w:lang w:val="en-AU"/>
        </w:rPr>
        <w:t xml:space="preserve">Consequences of conviction </w:t>
      </w:r>
    </w:p>
    <w:p w14:paraId="299AC080" w14:textId="77777777" w:rsidR="00C02EBB" w:rsidRDefault="00C02EBB" w:rsidP="00C02EBB">
      <w:pPr>
        <w:autoSpaceDE w:val="0"/>
        <w:autoSpaceDN w:val="0"/>
        <w:adjustRightInd w:val="0"/>
        <w:ind w:right="396"/>
        <w:contextualSpacing/>
        <w:rPr>
          <w:rFonts w:cs="Calibri"/>
          <w:szCs w:val="24"/>
          <w:lang w:eastAsia="en-NZ"/>
        </w:rPr>
      </w:pPr>
    </w:p>
    <w:p w14:paraId="30D7BE73" w14:textId="559F3C87" w:rsidR="00C02EBB" w:rsidRPr="00C02EBB" w:rsidRDefault="00C02EBB" w:rsidP="00C02EBB">
      <w:pPr>
        <w:autoSpaceDE w:val="0"/>
        <w:autoSpaceDN w:val="0"/>
        <w:adjustRightInd w:val="0"/>
        <w:ind w:right="396"/>
        <w:contextualSpacing/>
        <w:rPr>
          <w:rFonts w:cs="Calibri"/>
          <w:i/>
          <w:szCs w:val="24"/>
          <w:lang w:eastAsia="en-NZ"/>
        </w:rPr>
      </w:pPr>
      <w:r w:rsidRPr="009252BE">
        <w:rPr>
          <w:rFonts w:cs="Calibri"/>
          <w:i/>
          <w:sz w:val="24"/>
          <w:szCs w:val="24"/>
          <w:lang w:eastAsia="en-NZ"/>
        </w:rPr>
        <w:t>Employment</w:t>
      </w:r>
      <w:r w:rsidR="00120148">
        <w:rPr>
          <w:rFonts w:cs="Calibri"/>
          <w:i/>
          <w:sz w:val="24"/>
          <w:szCs w:val="24"/>
          <w:lang w:eastAsia="en-NZ"/>
        </w:rPr>
        <w:t xml:space="preserve"> Applications</w:t>
      </w:r>
    </w:p>
    <w:p w14:paraId="5FB21459" w14:textId="77777777" w:rsidR="00BF6ED1" w:rsidRPr="007353A3" w:rsidRDefault="00BF6ED1" w:rsidP="00BF6ED1">
      <w:pPr>
        <w:spacing w:line="360" w:lineRule="auto"/>
        <w:ind w:left="540"/>
        <w:rPr>
          <w:sz w:val="24"/>
          <w:szCs w:val="24"/>
          <w:highlight w:val="yellow"/>
        </w:rPr>
      </w:pPr>
    </w:p>
    <w:p w14:paraId="4DC37A9D" w14:textId="6DC4A9C8" w:rsidR="00BF6ED1" w:rsidRPr="008C1927" w:rsidRDefault="00BF6ED1" w:rsidP="00BF6ED1">
      <w:pPr>
        <w:numPr>
          <w:ilvl w:val="0"/>
          <w:numId w:val="3"/>
        </w:numPr>
        <w:spacing w:after="240" w:line="360" w:lineRule="auto"/>
        <w:contextualSpacing/>
        <w:rPr>
          <w:rFonts w:cs="Calibri"/>
          <w:sz w:val="24"/>
          <w:szCs w:val="24"/>
        </w:rPr>
      </w:pPr>
      <w:r w:rsidRPr="007353A3">
        <w:rPr>
          <w:rFonts w:cs="Calibri"/>
          <w:bCs/>
          <w:iCs/>
          <w:sz w:val="24"/>
          <w:szCs w:val="24"/>
        </w:rPr>
        <w:t xml:space="preserve">As outlined in </w:t>
      </w:r>
      <w:r>
        <w:rPr>
          <w:rFonts w:cs="Calibri"/>
          <w:bCs/>
          <w:iCs/>
          <w:sz w:val="24"/>
          <w:szCs w:val="24"/>
        </w:rPr>
        <w:t xml:space="preserve">his </w:t>
      </w:r>
      <w:r w:rsidRPr="007353A3">
        <w:rPr>
          <w:rFonts w:cs="Calibri"/>
          <w:bCs/>
          <w:iCs/>
          <w:sz w:val="24"/>
          <w:szCs w:val="24"/>
        </w:rPr>
        <w:t>affidavit, the main consequences of a conviction</w:t>
      </w:r>
      <w:r>
        <w:rPr>
          <w:rFonts w:cs="Calibri"/>
          <w:bCs/>
          <w:iCs/>
          <w:sz w:val="24"/>
          <w:szCs w:val="24"/>
        </w:rPr>
        <w:t xml:space="preserve"> for Mr </w:t>
      </w:r>
      <w:r w:rsidR="004F5C64">
        <w:rPr>
          <w:rFonts w:cs="Calibri"/>
          <w:bCs/>
          <w:iCs/>
          <w:sz w:val="24"/>
          <w:szCs w:val="24"/>
        </w:rPr>
        <w:t>Solt</w:t>
      </w:r>
      <w:r>
        <w:rPr>
          <w:rFonts w:cs="Calibri"/>
          <w:bCs/>
          <w:iCs/>
          <w:sz w:val="24"/>
          <w:szCs w:val="24"/>
        </w:rPr>
        <w:t xml:space="preserve"> is </w:t>
      </w:r>
      <w:r w:rsidR="004F5C64">
        <w:rPr>
          <w:rFonts w:cs="Calibri"/>
          <w:bCs/>
          <w:iCs/>
          <w:sz w:val="24"/>
          <w:szCs w:val="24"/>
        </w:rPr>
        <w:t xml:space="preserve">a risk that his </w:t>
      </w:r>
      <w:r w:rsidR="00120148">
        <w:rPr>
          <w:rFonts w:cs="Calibri"/>
          <w:bCs/>
          <w:iCs/>
          <w:sz w:val="24"/>
          <w:szCs w:val="24"/>
        </w:rPr>
        <w:t>chances for employment</w:t>
      </w:r>
      <w:r w:rsidR="004F5C64">
        <w:rPr>
          <w:rFonts w:cs="Calibri"/>
          <w:bCs/>
          <w:iCs/>
          <w:sz w:val="24"/>
          <w:szCs w:val="24"/>
        </w:rPr>
        <w:t xml:space="preserve"> will be impacted. </w:t>
      </w:r>
      <w:r>
        <w:rPr>
          <w:rFonts w:cs="Calibri"/>
          <w:bCs/>
          <w:iCs/>
          <w:sz w:val="24"/>
          <w:szCs w:val="24"/>
        </w:rPr>
        <w:t xml:space="preserve"> </w:t>
      </w:r>
      <w:r w:rsidRPr="007353A3">
        <w:rPr>
          <w:rFonts w:cs="Calibri"/>
          <w:bCs/>
          <w:iCs/>
          <w:sz w:val="24"/>
          <w:szCs w:val="24"/>
        </w:rPr>
        <w:t xml:space="preserve"> </w:t>
      </w:r>
    </w:p>
    <w:p w14:paraId="7C493BF1" w14:textId="77777777" w:rsidR="008C1927" w:rsidRPr="00360746" w:rsidRDefault="008C1927" w:rsidP="008C1927">
      <w:pPr>
        <w:spacing w:after="240" w:line="360" w:lineRule="auto"/>
        <w:ind w:left="851"/>
        <w:contextualSpacing/>
        <w:rPr>
          <w:rFonts w:cs="Calibri"/>
          <w:sz w:val="24"/>
          <w:szCs w:val="24"/>
        </w:rPr>
      </w:pPr>
    </w:p>
    <w:p w14:paraId="5F43C288" w14:textId="0DFF0370" w:rsidR="00360746" w:rsidRDefault="00360746" w:rsidP="00BF6ED1">
      <w:pPr>
        <w:numPr>
          <w:ilvl w:val="0"/>
          <w:numId w:val="3"/>
        </w:numPr>
        <w:spacing w:after="240" w:line="360" w:lineRule="auto"/>
        <w:contextualSpacing/>
        <w:rPr>
          <w:rFonts w:cs="Calibri"/>
          <w:sz w:val="24"/>
          <w:szCs w:val="24"/>
        </w:rPr>
      </w:pPr>
      <w:r>
        <w:rPr>
          <w:rFonts w:cs="Calibri"/>
          <w:sz w:val="24"/>
          <w:szCs w:val="24"/>
        </w:rPr>
        <w:t xml:space="preserve">Mr Solt has a number of physical disabilities, and there a number of careers he will not physically be able to pursue. It is likely that if he </w:t>
      </w:r>
      <w:r>
        <w:rPr>
          <w:rFonts w:cs="Calibri"/>
          <w:sz w:val="24"/>
          <w:szCs w:val="24"/>
        </w:rPr>
        <w:lastRenderedPageBreak/>
        <w:t>were to get a job, it would need to be in a job with minimal physical requirements, like an office job.</w:t>
      </w:r>
      <w:r w:rsidR="007F607D">
        <w:rPr>
          <w:rFonts w:cs="Calibri"/>
          <w:sz w:val="24"/>
          <w:szCs w:val="24"/>
        </w:rPr>
        <w:t xml:space="preserve"> His physical disabilities will already pose a boundary that an employer will need to overcome and make accommodations for, and the added </w:t>
      </w:r>
      <w:r w:rsidR="00120148">
        <w:rPr>
          <w:rFonts w:cs="Calibri"/>
          <w:sz w:val="24"/>
          <w:szCs w:val="24"/>
        </w:rPr>
        <w:t xml:space="preserve">hurdle </w:t>
      </w:r>
      <w:r w:rsidR="007F607D">
        <w:rPr>
          <w:rFonts w:cs="Calibri"/>
          <w:sz w:val="24"/>
          <w:szCs w:val="24"/>
        </w:rPr>
        <w:t xml:space="preserve">of a conviction would make it much less likely that any employer would take that risk. </w:t>
      </w:r>
    </w:p>
    <w:p w14:paraId="55341D55" w14:textId="77777777" w:rsidR="00FF6077" w:rsidRDefault="00FF6077" w:rsidP="00FF6077">
      <w:pPr>
        <w:pStyle w:val="ListParagraph"/>
        <w:rPr>
          <w:rFonts w:cs="Calibri"/>
          <w:sz w:val="24"/>
          <w:szCs w:val="24"/>
        </w:rPr>
      </w:pPr>
    </w:p>
    <w:p w14:paraId="0B3396FD" w14:textId="69DF87E4" w:rsidR="00FF6077" w:rsidRDefault="00FF6077" w:rsidP="00BF6ED1">
      <w:pPr>
        <w:numPr>
          <w:ilvl w:val="0"/>
          <w:numId w:val="3"/>
        </w:numPr>
        <w:spacing w:after="240" w:line="360" w:lineRule="auto"/>
        <w:contextualSpacing/>
        <w:rPr>
          <w:rFonts w:cs="Calibri"/>
          <w:sz w:val="24"/>
          <w:szCs w:val="24"/>
        </w:rPr>
      </w:pPr>
      <w:r>
        <w:rPr>
          <w:rFonts w:cs="Calibri"/>
          <w:sz w:val="24"/>
          <w:szCs w:val="24"/>
        </w:rPr>
        <w:t xml:space="preserve">Mr </w:t>
      </w:r>
      <w:proofErr w:type="spellStart"/>
      <w:r>
        <w:rPr>
          <w:rFonts w:cs="Calibri"/>
          <w:sz w:val="24"/>
          <w:szCs w:val="24"/>
        </w:rPr>
        <w:t>Solt</w:t>
      </w:r>
      <w:proofErr w:type="spellEnd"/>
      <w:r>
        <w:rPr>
          <w:rFonts w:cs="Calibri"/>
          <w:sz w:val="24"/>
          <w:szCs w:val="24"/>
        </w:rPr>
        <w:t xml:space="preserve"> did very well at his university courses, but did not complete his studies, so does not have any tertiary degree. This will also hamper him from getting an office job. </w:t>
      </w:r>
    </w:p>
    <w:p w14:paraId="5B1DA9D2" w14:textId="77777777" w:rsidR="009A1BDF" w:rsidRDefault="009A1BDF" w:rsidP="009A1BDF">
      <w:pPr>
        <w:pStyle w:val="ListParagraph"/>
        <w:rPr>
          <w:rFonts w:cs="Calibri"/>
          <w:sz w:val="24"/>
          <w:szCs w:val="24"/>
        </w:rPr>
      </w:pPr>
    </w:p>
    <w:p w14:paraId="3F6D31D6" w14:textId="62FBA727" w:rsidR="009A1BDF" w:rsidRPr="006B7EE5" w:rsidRDefault="009A1BDF" w:rsidP="00BF6ED1">
      <w:pPr>
        <w:numPr>
          <w:ilvl w:val="0"/>
          <w:numId w:val="3"/>
        </w:numPr>
        <w:spacing w:after="240" w:line="360" w:lineRule="auto"/>
        <w:contextualSpacing/>
        <w:rPr>
          <w:rFonts w:cs="Calibri"/>
          <w:sz w:val="24"/>
          <w:szCs w:val="24"/>
        </w:rPr>
      </w:pPr>
      <w:r>
        <w:rPr>
          <w:rFonts w:cs="Calibri"/>
          <w:sz w:val="24"/>
          <w:szCs w:val="24"/>
        </w:rPr>
        <w:t xml:space="preserve">It is also noted that Mr </w:t>
      </w:r>
      <w:proofErr w:type="spellStart"/>
      <w:r>
        <w:rPr>
          <w:rFonts w:cs="Calibri"/>
          <w:sz w:val="24"/>
          <w:szCs w:val="24"/>
        </w:rPr>
        <w:t>Solt</w:t>
      </w:r>
      <w:proofErr w:type="spellEnd"/>
      <w:r>
        <w:rPr>
          <w:rFonts w:cs="Calibri"/>
          <w:sz w:val="24"/>
          <w:szCs w:val="24"/>
        </w:rPr>
        <w:t xml:space="preserve"> has a daughter with the victim. Mr </w:t>
      </w:r>
      <w:proofErr w:type="spellStart"/>
      <w:r>
        <w:rPr>
          <w:rFonts w:cs="Calibri"/>
          <w:sz w:val="24"/>
          <w:szCs w:val="24"/>
        </w:rPr>
        <w:t>Solt</w:t>
      </w:r>
      <w:proofErr w:type="spellEnd"/>
      <w:r>
        <w:rPr>
          <w:rFonts w:cs="Calibri"/>
          <w:sz w:val="24"/>
          <w:szCs w:val="24"/>
        </w:rPr>
        <w:t xml:space="preserve"> increasing his earning capacity would also be in the interests of the victim, as it would increase the amount of child support he could pay to support their daughter.</w:t>
      </w:r>
    </w:p>
    <w:p w14:paraId="58E14BC4" w14:textId="77777777" w:rsidR="00C02EBB" w:rsidRPr="0083481C" w:rsidRDefault="00C02EBB" w:rsidP="00FF6077">
      <w:pPr>
        <w:autoSpaceDE w:val="0"/>
        <w:autoSpaceDN w:val="0"/>
        <w:adjustRightInd w:val="0"/>
        <w:ind w:right="396"/>
        <w:contextualSpacing/>
        <w:rPr>
          <w:rFonts w:cs="Calibri"/>
          <w:szCs w:val="24"/>
          <w:lang w:eastAsia="en-NZ"/>
        </w:rPr>
      </w:pPr>
    </w:p>
    <w:p w14:paraId="56248DB2" w14:textId="77777777" w:rsidR="00C02EBB" w:rsidRPr="00B9218C" w:rsidRDefault="00C02EBB" w:rsidP="00C02EBB">
      <w:pPr>
        <w:spacing w:line="360" w:lineRule="auto"/>
        <w:contextualSpacing/>
        <w:rPr>
          <w:rFonts w:cs="Calibri"/>
          <w:i/>
          <w:sz w:val="24"/>
          <w:szCs w:val="24"/>
          <w:lang w:val="en-AU"/>
        </w:rPr>
      </w:pPr>
      <w:r>
        <w:rPr>
          <w:rFonts w:cs="Calibri"/>
          <w:i/>
          <w:sz w:val="24"/>
          <w:szCs w:val="24"/>
          <w:lang w:val="en-AU"/>
        </w:rPr>
        <w:t>General consequences of a conviction</w:t>
      </w:r>
    </w:p>
    <w:p w14:paraId="535CCA4B" w14:textId="77777777" w:rsidR="00C02EBB" w:rsidRPr="000D637B" w:rsidRDefault="00C02EBB" w:rsidP="00C02EBB">
      <w:pPr>
        <w:spacing w:line="360" w:lineRule="auto"/>
        <w:ind w:left="720"/>
        <w:rPr>
          <w:rFonts w:cs="Calibri"/>
          <w:sz w:val="24"/>
          <w:szCs w:val="24"/>
        </w:rPr>
      </w:pPr>
    </w:p>
    <w:p w14:paraId="29C976EA" w14:textId="77777777" w:rsidR="00C02EBB" w:rsidRDefault="00C02EBB" w:rsidP="00C02EBB">
      <w:pPr>
        <w:numPr>
          <w:ilvl w:val="0"/>
          <w:numId w:val="3"/>
        </w:numPr>
        <w:spacing w:after="240" w:line="360" w:lineRule="auto"/>
        <w:rPr>
          <w:rFonts w:cs="Calibri"/>
          <w:sz w:val="24"/>
          <w:szCs w:val="24"/>
        </w:rPr>
      </w:pPr>
      <w:r w:rsidRPr="00B9218C">
        <w:rPr>
          <w:rFonts w:cs="Calibri"/>
          <w:sz w:val="24"/>
          <w:szCs w:val="24"/>
        </w:rPr>
        <w:t xml:space="preserve">The Courts have recognised that there are general consequences which flow from a conviction. In </w:t>
      </w:r>
      <w:r w:rsidRPr="00B9218C">
        <w:rPr>
          <w:rFonts w:cs="Calibri"/>
          <w:i/>
          <w:sz w:val="24"/>
          <w:szCs w:val="24"/>
        </w:rPr>
        <w:t>Albert v Police</w:t>
      </w:r>
      <w:r w:rsidRPr="00B9218C">
        <w:rPr>
          <w:rFonts w:cs="Calibri"/>
          <w:sz w:val="24"/>
          <w:vertAlign w:val="superscript"/>
        </w:rPr>
        <w:footnoteReference w:id="13"/>
      </w:r>
      <w:r w:rsidRPr="00B9218C">
        <w:rPr>
          <w:rFonts w:cs="Calibri"/>
          <w:sz w:val="24"/>
          <w:szCs w:val="24"/>
        </w:rPr>
        <w:t xml:space="preserve"> Toogood J observed that “a conviction in itself is </w:t>
      </w:r>
      <w:r w:rsidRPr="00B9218C">
        <w:rPr>
          <w:rFonts w:asciiTheme="minorHAnsi" w:hAnsiTheme="minorHAnsi" w:cs="Calibri"/>
          <w:sz w:val="24"/>
          <w:szCs w:val="24"/>
        </w:rPr>
        <w:t xml:space="preserve">a </w:t>
      </w:r>
      <w:r w:rsidRPr="00B9218C">
        <w:rPr>
          <w:rFonts w:cs="Calibri"/>
          <w:sz w:val="24"/>
          <w:szCs w:val="24"/>
          <w:lang w:val="en-AU"/>
        </w:rPr>
        <w:t>consequence, especially where the offender has no previous record of offending.”</w:t>
      </w:r>
      <w:r w:rsidRPr="00B9218C">
        <w:rPr>
          <w:rFonts w:asciiTheme="minorHAnsi" w:hAnsiTheme="minorHAnsi" w:cs="Calibri"/>
          <w:sz w:val="24"/>
          <w:vertAlign w:val="superscript"/>
        </w:rPr>
        <w:t xml:space="preserve"> </w:t>
      </w:r>
      <w:r w:rsidRPr="00B9218C">
        <w:rPr>
          <w:rFonts w:asciiTheme="minorHAnsi" w:hAnsiTheme="minorHAnsi" w:cs="Calibri"/>
          <w:sz w:val="24"/>
          <w:vertAlign w:val="superscript"/>
        </w:rPr>
        <w:footnoteReference w:id="14"/>
      </w:r>
      <w:r w:rsidRPr="00B9218C">
        <w:rPr>
          <w:rFonts w:cs="Calibri"/>
          <w:sz w:val="24"/>
          <w:szCs w:val="24"/>
        </w:rPr>
        <w:t xml:space="preserve"> </w:t>
      </w:r>
    </w:p>
    <w:p w14:paraId="312BA217" w14:textId="1389ABB7" w:rsidR="000D637B" w:rsidRPr="00120148" w:rsidRDefault="00C02EBB" w:rsidP="000D637B">
      <w:pPr>
        <w:numPr>
          <w:ilvl w:val="0"/>
          <w:numId w:val="3"/>
        </w:numPr>
        <w:spacing w:after="240" w:line="360" w:lineRule="auto"/>
        <w:rPr>
          <w:rFonts w:cs="Calibri"/>
          <w:sz w:val="28"/>
          <w:szCs w:val="24"/>
        </w:rPr>
      </w:pPr>
      <w:r w:rsidRPr="00B9218C">
        <w:rPr>
          <w:rFonts w:cs="Calibri"/>
          <w:sz w:val="24"/>
          <w:szCs w:val="24"/>
        </w:rPr>
        <w:t xml:space="preserve">The </w:t>
      </w:r>
      <w:r w:rsidRPr="00B9218C">
        <w:rPr>
          <w:sz w:val="24"/>
          <w:szCs w:val="24"/>
        </w:rPr>
        <w:t xml:space="preserve">Court of Appeal recognised in </w:t>
      </w:r>
      <w:r w:rsidRPr="00B9218C">
        <w:rPr>
          <w:i/>
          <w:sz w:val="24"/>
          <w:szCs w:val="24"/>
        </w:rPr>
        <w:t>R v Findlay</w:t>
      </w:r>
      <w:r w:rsidRPr="00B9218C">
        <w:rPr>
          <w:sz w:val="24"/>
          <w:szCs w:val="24"/>
        </w:rPr>
        <w:t>,</w:t>
      </w:r>
      <w:r w:rsidRPr="00B9218C">
        <w:rPr>
          <w:rStyle w:val="FootnoteReference"/>
          <w:sz w:val="24"/>
          <w:szCs w:val="24"/>
        </w:rPr>
        <w:footnoteReference w:id="15"/>
      </w:r>
      <w:r w:rsidRPr="00B9218C">
        <w:rPr>
          <w:sz w:val="24"/>
          <w:szCs w:val="24"/>
        </w:rPr>
        <w:t xml:space="preserve"> where someone of previous good character falls from grace that is punishment in itself</w:t>
      </w:r>
      <w:r>
        <w:rPr>
          <w:rFonts w:cs="Calibri"/>
          <w:sz w:val="28"/>
          <w:szCs w:val="24"/>
        </w:rPr>
        <w:t xml:space="preserve">. </w:t>
      </w:r>
      <w:r w:rsidRPr="00B9218C">
        <w:rPr>
          <w:sz w:val="24"/>
          <w:szCs w:val="24"/>
        </w:rPr>
        <w:t xml:space="preserve">It is submitted that the consequences of a conviction for this type of criminal offence would be significant for Mr </w:t>
      </w:r>
      <w:proofErr w:type="spellStart"/>
      <w:r w:rsidRPr="00B9218C">
        <w:rPr>
          <w:sz w:val="24"/>
          <w:szCs w:val="24"/>
        </w:rPr>
        <w:t>S</w:t>
      </w:r>
      <w:r w:rsidR="00120148">
        <w:rPr>
          <w:sz w:val="24"/>
          <w:szCs w:val="24"/>
        </w:rPr>
        <w:t>olt</w:t>
      </w:r>
      <w:proofErr w:type="spellEnd"/>
      <w:r w:rsidRPr="00B9218C">
        <w:rPr>
          <w:sz w:val="24"/>
          <w:szCs w:val="24"/>
        </w:rPr>
        <w:t>. He appears before the court with no criminal history.</w:t>
      </w:r>
    </w:p>
    <w:p w14:paraId="71F60DEA" w14:textId="77777777" w:rsidR="000D637B" w:rsidRPr="000D637B" w:rsidRDefault="007F607D" w:rsidP="000D637B">
      <w:pPr>
        <w:spacing w:line="360" w:lineRule="auto"/>
        <w:contextualSpacing/>
        <w:rPr>
          <w:rFonts w:cs="Calibri"/>
          <w:b/>
          <w:sz w:val="24"/>
          <w:szCs w:val="24"/>
        </w:rPr>
      </w:pPr>
      <w:r w:rsidRPr="000D637B">
        <w:rPr>
          <w:rFonts w:cs="Calibri"/>
          <w:b/>
          <w:sz w:val="24"/>
          <w:szCs w:val="24"/>
        </w:rPr>
        <w:t>Proportionality</w:t>
      </w:r>
    </w:p>
    <w:p w14:paraId="0780C7BE" w14:textId="77777777" w:rsidR="000D637B" w:rsidRPr="000D637B" w:rsidRDefault="007F607D" w:rsidP="000D637B">
      <w:pPr>
        <w:spacing w:line="360" w:lineRule="auto"/>
        <w:contextualSpacing/>
        <w:rPr>
          <w:rFonts w:cs="Calibri"/>
          <w:b/>
          <w:sz w:val="24"/>
          <w:szCs w:val="24"/>
        </w:rPr>
      </w:pPr>
      <w:r w:rsidRPr="000D637B">
        <w:rPr>
          <w:rFonts w:cs="Calibri"/>
          <w:b/>
          <w:sz w:val="24"/>
          <w:szCs w:val="24"/>
        </w:rPr>
        <w:t xml:space="preserve"> </w:t>
      </w:r>
    </w:p>
    <w:p w14:paraId="3BE3DBE5" w14:textId="3ABF634D" w:rsidR="00C02EBB" w:rsidRPr="009A1BDF" w:rsidRDefault="00C02EBB" w:rsidP="009A1BDF">
      <w:pPr>
        <w:numPr>
          <w:ilvl w:val="0"/>
          <w:numId w:val="3"/>
        </w:numPr>
        <w:spacing w:line="360" w:lineRule="auto"/>
        <w:contextualSpacing/>
        <w:rPr>
          <w:rFonts w:cs="Calibri"/>
          <w:sz w:val="24"/>
          <w:szCs w:val="24"/>
        </w:rPr>
      </w:pPr>
      <w:r w:rsidRPr="0075557E">
        <w:rPr>
          <w:rFonts w:cs="Calibri"/>
          <w:sz w:val="24"/>
          <w:szCs w:val="24"/>
        </w:rPr>
        <w:t xml:space="preserve">The final consideration for the Court is whether the resulting conviction would be out of all proportion to the offending. It is a balancing exercise that requires weighing the previous two steps as to </w:t>
      </w:r>
      <w:r w:rsidRPr="0075557E">
        <w:rPr>
          <w:rFonts w:cs="Calibri"/>
          <w:sz w:val="24"/>
          <w:szCs w:val="24"/>
        </w:rPr>
        <w:lastRenderedPageBreak/>
        <w:t>the gravity of the offence and consequences of a conviction and deciding whether these would be out of all proportion to the offending</w:t>
      </w:r>
      <w:r w:rsidRPr="009A1BDF">
        <w:rPr>
          <w:rFonts w:cs="Calibri"/>
          <w:sz w:val="24"/>
          <w:szCs w:val="24"/>
        </w:rPr>
        <w:t>.</w:t>
      </w:r>
    </w:p>
    <w:p w14:paraId="2F77BBC1" w14:textId="77777777" w:rsidR="00C02EBB" w:rsidRPr="007353A3" w:rsidRDefault="00C02EBB" w:rsidP="00C02EBB">
      <w:pPr>
        <w:pStyle w:val="ListParagraph"/>
        <w:tabs>
          <w:tab w:val="left" w:pos="567"/>
        </w:tabs>
        <w:spacing w:line="360" w:lineRule="auto"/>
        <w:ind w:left="567"/>
        <w:contextualSpacing/>
        <w:rPr>
          <w:rFonts w:cs="Calibri"/>
          <w:b/>
          <w:color w:val="FF0000"/>
          <w:sz w:val="24"/>
          <w:szCs w:val="24"/>
        </w:rPr>
      </w:pPr>
    </w:p>
    <w:p w14:paraId="77204983" w14:textId="4AF1A2C8" w:rsidR="00C02EBB" w:rsidRPr="007353A3" w:rsidRDefault="00C02EBB" w:rsidP="00C02EBB">
      <w:pPr>
        <w:numPr>
          <w:ilvl w:val="0"/>
          <w:numId w:val="3"/>
        </w:numPr>
        <w:spacing w:line="360" w:lineRule="auto"/>
        <w:contextualSpacing/>
        <w:rPr>
          <w:rFonts w:cs="Calibri"/>
          <w:b/>
          <w:sz w:val="24"/>
          <w:szCs w:val="24"/>
        </w:rPr>
      </w:pPr>
      <w:r w:rsidRPr="006B6D4F">
        <w:rPr>
          <w:rFonts w:cs="Calibri"/>
          <w:sz w:val="24"/>
          <w:szCs w:val="24"/>
        </w:rPr>
        <w:t xml:space="preserve">As discussed above, it is submitted that the gravity of offending </w:t>
      </w:r>
      <w:r w:rsidRPr="001F2B0D">
        <w:rPr>
          <w:rFonts w:cs="Calibri"/>
          <w:sz w:val="24"/>
          <w:szCs w:val="24"/>
        </w:rPr>
        <w:t xml:space="preserve">is </w:t>
      </w:r>
      <w:r w:rsidRPr="001F2B0D">
        <w:rPr>
          <w:rFonts w:cs="Calibri"/>
          <w:b/>
          <w:sz w:val="24"/>
          <w:szCs w:val="24"/>
        </w:rPr>
        <w:t>low</w:t>
      </w:r>
      <w:r w:rsidRPr="004E4FC2">
        <w:rPr>
          <w:rFonts w:cs="Calibri"/>
          <w:b/>
          <w:sz w:val="24"/>
          <w:szCs w:val="24"/>
        </w:rPr>
        <w:t xml:space="preserve"> </w:t>
      </w:r>
      <w:r w:rsidRPr="006B6D4F">
        <w:rPr>
          <w:rFonts w:cs="Calibri"/>
          <w:sz w:val="24"/>
          <w:szCs w:val="24"/>
        </w:rPr>
        <w:t xml:space="preserve">having regard to the nature of the offending itself and </w:t>
      </w:r>
      <w:r>
        <w:rPr>
          <w:rFonts w:cs="Calibri"/>
          <w:sz w:val="24"/>
          <w:szCs w:val="24"/>
        </w:rPr>
        <w:t xml:space="preserve">Mr </w:t>
      </w:r>
      <w:proofErr w:type="spellStart"/>
      <w:r>
        <w:rPr>
          <w:rFonts w:cs="Calibri"/>
          <w:sz w:val="24"/>
          <w:szCs w:val="24"/>
        </w:rPr>
        <w:t>S</w:t>
      </w:r>
      <w:r w:rsidR="00120148">
        <w:rPr>
          <w:rFonts w:cs="Calibri"/>
          <w:sz w:val="24"/>
          <w:szCs w:val="24"/>
        </w:rPr>
        <w:t>olt</w:t>
      </w:r>
      <w:r>
        <w:rPr>
          <w:rFonts w:cs="Calibri"/>
          <w:sz w:val="24"/>
          <w:szCs w:val="24"/>
        </w:rPr>
        <w:t>’s</w:t>
      </w:r>
      <w:proofErr w:type="spellEnd"/>
      <w:r>
        <w:rPr>
          <w:rFonts w:cs="Calibri"/>
          <w:sz w:val="24"/>
          <w:szCs w:val="24"/>
        </w:rPr>
        <w:t xml:space="preserve"> personal circumstances</w:t>
      </w:r>
      <w:r w:rsidR="009A1BDF">
        <w:rPr>
          <w:rFonts w:cs="Calibri"/>
          <w:sz w:val="24"/>
          <w:szCs w:val="24"/>
        </w:rPr>
        <w:t>, and the steps he has taken since the offending</w:t>
      </w:r>
      <w:r>
        <w:rPr>
          <w:rFonts w:cs="Calibri"/>
          <w:sz w:val="24"/>
          <w:szCs w:val="24"/>
        </w:rPr>
        <w:t xml:space="preserve">. </w:t>
      </w:r>
    </w:p>
    <w:p w14:paraId="2CB12F43" w14:textId="77777777" w:rsidR="00C02EBB" w:rsidRPr="007353A3" w:rsidRDefault="00C02EBB" w:rsidP="00C02EBB">
      <w:pPr>
        <w:pStyle w:val="ListParagraph"/>
        <w:rPr>
          <w:rFonts w:cs="Calibri"/>
          <w:sz w:val="24"/>
          <w:szCs w:val="24"/>
        </w:rPr>
      </w:pPr>
    </w:p>
    <w:p w14:paraId="246EDCCE" w14:textId="77777777" w:rsidR="00C02EBB" w:rsidRPr="00937291" w:rsidRDefault="00C02EBB" w:rsidP="00C02EBB">
      <w:pPr>
        <w:numPr>
          <w:ilvl w:val="0"/>
          <w:numId w:val="3"/>
        </w:numPr>
        <w:spacing w:line="360" w:lineRule="auto"/>
        <w:contextualSpacing/>
        <w:rPr>
          <w:rFonts w:cs="Calibri"/>
          <w:b/>
          <w:sz w:val="24"/>
          <w:szCs w:val="24"/>
        </w:rPr>
      </w:pPr>
      <w:r w:rsidRPr="007353A3">
        <w:rPr>
          <w:rFonts w:cs="Calibri"/>
          <w:sz w:val="24"/>
          <w:szCs w:val="24"/>
        </w:rPr>
        <w:t xml:space="preserve">It is submitted that the indirect and direct consequences of a conviction on </w:t>
      </w:r>
      <w:r w:rsidRPr="00C71AAC">
        <w:rPr>
          <w:rFonts w:cs="Calibri"/>
          <w:sz w:val="24"/>
          <w:szCs w:val="24"/>
        </w:rPr>
        <w:t xml:space="preserve">Mr </w:t>
      </w:r>
      <w:r>
        <w:rPr>
          <w:rFonts w:cs="Calibri"/>
          <w:sz w:val="24"/>
          <w:szCs w:val="24"/>
        </w:rPr>
        <w:t>Solt</w:t>
      </w:r>
      <w:r w:rsidRPr="00C71AAC">
        <w:rPr>
          <w:rFonts w:cs="Calibri"/>
          <w:sz w:val="24"/>
          <w:szCs w:val="24"/>
        </w:rPr>
        <w:t xml:space="preserve"> would be out of proportion to the gravity of the offending.</w:t>
      </w:r>
      <w:r w:rsidRPr="007353A3">
        <w:rPr>
          <w:rFonts w:cs="Calibri"/>
          <w:sz w:val="24"/>
          <w:szCs w:val="24"/>
        </w:rPr>
        <w:t xml:space="preserve">  </w:t>
      </w:r>
    </w:p>
    <w:p w14:paraId="4C199EE8" w14:textId="77777777" w:rsidR="00C02EBB" w:rsidRDefault="00C02EBB" w:rsidP="00C02EBB">
      <w:pPr>
        <w:pStyle w:val="ListParagraph"/>
        <w:rPr>
          <w:rFonts w:cs="Calibri"/>
          <w:b/>
          <w:sz w:val="24"/>
          <w:szCs w:val="24"/>
        </w:rPr>
      </w:pPr>
    </w:p>
    <w:p w14:paraId="6599943E" w14:textId="6FDED097" w:rsidR="009A1BDF" w:rsidRPr="009A1BDF" w:rsidRDefault="00C02EBB" w:rsidP="009A1BDF">
      <w:pPr>
        <w:numPr>
          <w:ilvl w:val="0"/>
          <w:numId w:val="3"/>
        </w:numPr>
        <w:autoSpaceDE w:val="0"/>
        <w:autoSpaceDN w:val="0"/>
        <w:adjustRightInd w:val="0"/>
        <w:spacing w:after="240" w:line="360" w:lineRule="auto"/>
        <w:rPr>
          <w:rFonts w:cs="Calibri"/>
          <w:sz w:val="24"/>
          <w:szCs w:val="24"/>
          <w:lang w:eastAsia="en-NZ"/>
        </w:rPr>
      </w:pPr>
      <w:r w:rsidRPr="00937291">
        <w:rPr>
          <w:rFonts w:cs="Calibri"/>
          <w:sz w:val="24"/>
          <w:szCs w:val="22"/>
          <w:lang w:eastAsia="en-NZ"/>
        </w:rPr>
        <w:t>Counsel submits no further deterrent purpose would be served by entering a conviction</w:t>
      </w:r>
      <w:r w:rsidRPr="00937291">
        <w:rPr>
          <w:rFonts w:cs="Calibri"/>
          <w:sz w:val="24"/>
          <w:szCs w:val="24"/>
        </w:rPr>
        <w:t xml:space="preserve">, </w:t>
      </w:r>
      <w:r w:rsidR="009A1BDF">
        <w:rPr>
          <w:rFonts w:cs="Calibri"/>
          <w:sz w:val="24"/>
          <w:szCs w:val="24"/>
        </w:rPr>
        <w:t xml:space="preserve">particularly given the protection order is no longer in place. </w:t>
      </w:r>
    </w:p>
    <w:p w14:paraId="75E7DB06" w14:textId="56A1AC0D" w:rsidR="009A1BDF" w:rsidRPr="009A1BDF" w:rsidRDefault="009A1BDF" w:rsidP="009A1BDF">
      <w:pPr>
        <w:numPr>
          <w:ilvl w:val="0"/>
          <w:numId w:val="3"/>
        </w:numPr>
        <w:autoSpaceDE w:val="0"/>
        <w:autoSpaceDN w:val="0"/>
        <w:adjustRightInd w:val="0"/>
        <w:spacing w:after="240" w:line="360" w:lineRule="auto"/>
        <w:rPr>
          <w:rFonts w:cs="Calibri"/>
          <w:sz w:val="24"/>
          <w:szCs w:val="24"/>
          <w:lang w:eastAsia="en-NZ"/>
        </w:rPr>
      </w:pPr>
      <w:r>
        <w:rPr>
          <w:rFonts w:cs="Calibri"/>
          <w:sz w:val="24"/>
          <w:szCs w:val="24"/>
          <w:lang w:eastAsia="en-NZ"/>
        </w:rPr>
        <w:t xml:space="preserve">Mr </w:t>
      </w:r>
      <w:proofErr w:type="spellStart"/>
      <w:r>
        <w:rPr>
          <w:rFonts w:cs="Calibri"/>
          <w:sz w:val="24"/>
          <w:szCs w:val="24"/>
          <w:lang w:eastAsia="en-NZ"/>
        </w:rPr>
        <w:t>Solt</w:t>
      </w:r>
      <w:proofErr w:type="spellEnd"/>
      <w:r>
        <w:rPr>
          <w:rFonts w:cs="Calibri"/>
          <w:sz w:val="24"/>
          <w:szCs w:val="24"/>
          <w:lang w:eastAsia="en-NZ"/>
        </w:rPr>
        <w:t xml:space="preserve"> has taken the requisite steps to rehabilitate himself already.</w:t>
      </w:r>
    </w:p>
    <w:p w14:paraId="7D16FCA9" w14:textId="0BD3692B" w:rsidR="009A1BDF" w:rsidRPr="00937291" w:rsidRDefault="009A1BDF" w:rsidP="00C02EBB">
      <w:pPr>
        <w:numPr>
          <w:ilvl w:val="0"/>
          <w:numId w:val="3"/>
        </w:numPr>
        <w:autoSpaceDE w:val="0"/>
        <w:autoSpaceDN w:val="0"/>
        <w:adjustRightInd w:val="0"/>
        <w:spacing w:after="240" w:line="360" w:lineRule="auto"/>
        <w:rPr>
          <w:rFonts w:cs="Calibri"/>
          <w:sz w:val="24"/>
          <w:szCs w:val="24"/>
          <w:lang w:eastAsia="en-NZ"/>
        </w:rPr>
      </w:pPr>
      <w:r>
        <w:rPr>
          <w:rFonts w:cs="Calibri"/>
          <w:sz w:val="24"/>
          <w:szCs w:val="24"/>
          <w:lang w:eastAsia="en-NZ"/>
        </w:rPr>
        <w:t xml:space="preserve">Marking </w:t>
      </w:r>
      <w:proofErr w:type="spellStart"/>
      <w:r>
        <w:rPr>
          <w:rFonts w:cs="Calibri"/>
          <w:sz w:val="24"/>
          <w:szCs w:val="24"/>
          <w:lang w:eastAsia="en-NZ"/>
        </w:rPr>
        <w:t>mr</w:t>
      </w:r>
      <w:proofErr w:type="spellEnd"/>
      <w:r>
        <w:rPr>
          <w:rFonts w:cs="Calibri"/>
          <w:sz w:val="24"/>
          <w:szCs w:val="24"/>
          <w:lang w:eastAsia="en-NZ"/>
        </w:rPr>
        <w:t xml:space="preserve"> </w:t>
      </w:r>
      <w:proofErr w:type="spellStart"/>
      <w:r>
        <w:rPr>
          <w:rFonts w:cs="Calibri"/>
          <w:sz w:val="24"/>
          <w:szCs w:val="24"/>
          <w:lang w:eastAsia="en-NZ"/>
        </w:rPr>
        <w:t>Solt’s</w:t>
      </w:r>
      <w:proofErr w:type="spellEnd"/>
      <w:r>
        <w:rPr>
          <w:rFonts w:cs="Calibri"/>
          <w:sz w:val="24"/>
          <w:szCs w:val="24"/>
          <w:lang w:eastAsia="en-NZ"/>
        </w:rPr>
        <w:t xml:space="preserve"> record would disadvantage him, and his family, and would not serve any of the purposes set out in the Sentencing Act 2002.</w:t>
      </w:r>
    </w:p>
    <w:p w14:paraId="176FB821" w14:textId="62AF394B" w:rsidR="00C02EBB" w:rsidRDefault="00C02EBB" w:rsidP="00C02EBB">
      <w:pPr>
        <w:numPr>
          <w:ilvl w:val="0"/>
          <w:numId w:val="3"/>
        </w:numPr>
        <w:tabs>
          <w:tab w:val="num" w:pos="3120"/>
        </w:tabs>
        <w:autoSpaceDE w:val="0"/>
        <w:autoSpaceDN w:val="0"/>
        <w:adjustRightInd w:val="0"/>
        <w:spacing w:after="240" w:line="360" w:lineRule="auto"/>
        <w:rPr>
          <w:rFonts w:cs="Calibri"/>
          <w:sz w:val="24"/>
          <w:szCs w:val="24"/>
          <w:lang w:eastAsia="en-NZ"/>
        </w:rPr>
      </w:pPr>
      <w:r w:rsidRPr="00937291">
        <w:rPr>
          <w:rFonts w:cs="Calibri"/>
          <w:sz w:val="24"/>
          <w:szCs w:val="24"/>
          <w:lang w:eastAsia="en-NZ"/>
        </w:rPr>
        <w:t xml:space="preserve">It is submitted that the balance falls in favour of a discharge without conviction. For a person who </w:t>
      </w:r>
      <w:r w:rsidR="00D425F3">
        <w:rPr>
          <w:rFonts w:cs="Calibri"/>
          <w:sz w:val="24"/>
          <w:szCs w:val="24"/>
          <w:lang w:eastAsia="en-NZ"/>
        </w:rPr>
        <w:t xml:space="preserve">is already subject to disadvantage as a result of his physical disabilities </w:t>
      </w:r>
      <w:r w:rsidRPr="00937291">
        <w:rPr>
          <w:rFonts w:cs="Calibri"/>
          <w:sz w:val="24"/>
          <w:szCs w:val="24"/>
          <w:lang w:eastAsia="en-NZ"/>
        </w:rPr>
        <w:t>and</w:t>
      </w:r>
      <w:r w:rsidR="00D425F3">
        <w:rPr>
          <w:rFonts w:cs="Calibri"/>
          <w:sz w:val="24"/>
          <w:szCs w:val="24"/>
          <w:lang w:eastAsia="en-NZ"/>
        </w:rPr>
        <w:t xml:space="preserve"> is looking to</w:t>
      </w:r>
      <w:r w:rsidRPr="00937291">
        <w:rPr>
          <w:rFonts w:cs="Calibri"/>
          <w:sz w:val="24"/>
          <w:szCs w:val="24"/>
          <w:lang w:eastAsia="en-NZ"/>
        </w:rPr>
        <w:t xml:space="preserve"> move forward from this event, the consequences noted are out of all proportion to the gravity of the offence.</w:t>
      </w:r>
    </w:p>
    <w:p w14:paraId="623D006F" w14:textId="5487B70C" w:rsidR="00AE13D8" w:rsidRPr="00AE13D8" w:rsidRDefault="00AE13D8" w:rsidP="00AE13D8">
      <w:pPr>
        <w:tabs>
          <w:tab w:val="num" w:pos="3120"/>
        </w:tabs>
        <w:autoSpaceDE w:val="0"/>
        <w:autoSpaceDN w:val="0"/>
        <w:adjustRightInd w:val="0"/>
        <w:spacing w:after="240" w:line="360" w:lineRule="auto"/>
        <w:rPr>
          <w:rFonts w:cs="Calibri"/>
          <w:b/>
          <w:sz w:val="24"/>
          <w:szCs w:val="24"/>
          <w:lang w:eastAsia="en-NZ"/>
        </w:rPr>
      </w:pPr>
      <w:r>
        <w:rPr>
          <w:rFonts w:cs="Calibri"/>
          <w:b/>
          <w:sz w:val="24"/>
          <w:szCs w:val="24"/>
          <w:lang w:eastAsia="en-NZ"/>
        </w:rPr>
        <w:t>Conclusion</w:t>
      </w:r>
    </w:p>
    <w:p w14:paraId="116AF35F" w14:textId="77777777" w:rsidR="00AE13D8" w:rsidRPr="00253CCA" w:rsidRDefault="00AE13D8" w:rsidP="00AE13D8">
      <w:pPr>
        <w:numPr>
          <w:ilvl w:val="0"/>
          <w:numId w:val="3"/>
        </w:numPr>
        <w:tabs>
          <w:tab w:val="left" w:pos="5475"/>
        </w:tabs>
        <w:spacing w:line="360" w:lineRule="auto"/>
        <w:rPr>
          <w:rFonts w:cs="Calibri"/>
          <w:sz w:val="24"/>
          <w:szCs w:val="24"/>
        </w:rPr>
      </w:pPr>
      <w:r>
        <w:rPr>
          <w:rFonts w:cs="Calibri"/>
          <w:sz w:val="24"/>
          <w:szCs w:val="24"/>
        </w:rPr>
        <w:t xml:space="preserve">It is submitted that the test under s 107 of the Act is satisfied and </w:t>
      </w:r>
      <w:r w:rsidRPr="00253CCA">
        <w:rPr>
          <w:rFonts w:cs="Calibri"/>
          <w:sz w:val="24"/>
          <w:szCs w:val="24"/>
        </w:rPr>
        <w:t>it is appropriate that</w:t>
      </w:r>
      <w:r>
        <w:rPr>
          <w:rFonts w:cs="Calibri"/>
          <w:sz w:val="24"/>
          <w:szCs w:val="24"/>
        </w:rPr>
        <w:t xml:space="preserve"> </w:t>
      </w:r>
      <w:r w:rsidRPr="00424973">
        <w:rPr>
          <w:rFonts w:cs="Calibri"/>
          <w:noProof/>
          <w:sz w:val="24"/>
          <w:szCs w:val="24"/>
        </w:rPr>
        <w:t>David Solt</w:t>
      </w:r>
      <w:r>
        <w:rPr>
          <w:rFonts w:cs="Calibri"/>
          <w:sz w:val="24"/>
          <w:szCs w:val="24"/>
        </w:rPr>
        <w:t xml:space="preserve"> </w:t>
      </w:r>
      <w:r w:rsidRPr="00253CCA">
        <w:rPr>
          <w:rFonts w:cs="Calibri"/>
          <w:sz w:val="24"/>
          <w:szCs w:val="24"/>
        </w:rPr>
        <w:t>be dealt with by way of a discharge without conviction.</w:t>
      </w:r>
    </w:p>
    <w:p w14:paraId="79A50F84" w14:textId="77777777" w:rsidR="008D0A8C" w:rsidRPr="00AE13D8" w:rsidRDefault="008D0A8C" w:rsidP="00AE13D8">
      <w:pPr>
        <w:autoSpaceDE w:val="0"/>
        <w:autoSpaceDN w:val="0"/>
        <w:adjustRightInd w:val="0"/>
        <w:spacing w:after="240" w:line="360" w:lineRule="auto"/>
        <w:rPr>
          <w:rFonts w:cs="Calibri"/>
          <w:sz w:val="24"/>
          <w:szCs w:val="24"/>
          <w:lang w:eastAsia="en-NZ"/>
        </w:rPr>
      </w:pPr>
    </w:p>
    <w:p w14:paraId="4C512ECB" w14:textId="77777777" w:rsidR="00087E37" w:rsidRPr="00AD0D14" w:rsidRDefault="007F607D" w:rsidP="00087E37">
      <w:pPr>
        <w:rPr>
          <w:rFonts w:cs="Calibri"/>
          <w:sz w:val="24"/>
          <w:szCs w:val="24"/>
        </w:rPr>
      </w:pPr>
      <w:r>
        <w:rPr>
          <w:rFonts w:cs="Calibri"/>
          <w:sz w:val="24"/>
          <w:szCs w:val="24"/>
        </w:rPr>
        <w:fldChar w:fldCharType="begin"/>
      </w:r>
      <w:r w:rsidR="00A5342D">
        <w:rPr>
          <w:rFonts w:cs="Calibri"/>
          <w:sz w:val="24"/>
          <w:szCs w:val="24"/>
        </w:rPr>
        <w:instrText xml:space="preserve"> CREATEDATE  \@ "d MMMM yyyy"  \* MERGEFORMAT </w:instrText>
      </w:r>
      <w:r>
        <w:rPr>
          <w:rFonts w:cs="Calibri"/>
          <w:sz w:val="24"/>
          <w:szCs w:val="24"/>
        </w:rPr>
        <w:fldChar w:fldCharType="separate"/>
      </w:r>
      <w:r w:rsidR="00A6055A">
        <w:rPr>
          <w:rFonts w:cs="Calibri"/>
          <w:noProof/>
          <w:sz w:val="24"/>
          <w:szCs w:val="24"/>
        </w:rPr>
        <w:t>14 March 2024</w:t>
      </w:r>
      <w:r>
        <w:rPr>
          <w:rFonts w:cs="Calibri"/>
          <w:sz w:val="24"/>
          <w:szCs w:val="24"/>
        </w:rPr>
        <w:fldChar w:fldCharType="end"/>
      </w:r>
    </w:p>
    <w:p w14:paraId="617CF4B1" w14:textId="77777777" w:rsidR="00087E37" w:rsidRPr="00AD0D14" w:rsidRDefault="00087E37" w:rsidP="00087E37">
      <w:pPr>
        <w:tabs>
          <w:tab w:val="left" w:pos="5475"/>
        </w:tabs>
        <w:spacing w:line="360" w:lineRule="auto"/>
        <w:rPr>
          <w:rFonts w:cs="Calibri"/>
          <w:sz w:val="24"/>
          <w:szCs w:val="24"/>
        </w:rPr>
      </w:pPr>
    </w:p>
    <w:p w14:paraId="11C40711" w14:textId="77777777" w:rsidR="00087E37" w:rsidRPr="00AD0D14" w:rsidRDefault="00087E37" w:rsidP="00087E37">
      <w:pPr>
        <w:spacing w:line="360" w:lineRule="auto"/>
        <w:rPr>
          <w:rFonts w:cs="Calibri"/>
          <w:sz w:val="24"/>
          <w:szCs w:val="24"/>
        </w:rPr>
      </w:pPr>
      <w:bookmarkStart w:id="0" w:name="_GoBack"/>
      <w:bookmarkEnd w:id="0"/>
    </w:p>
    <w:p w14:paraId="284FC5B5" w14:textId="77777777" w:rsidR="00087E37" w:rsidRPr="00AD0D14" w:rsidRDefault="007F607D" w:rsidP="00504B6A">
      <w:pPr>
        <w:spacing w:line="360" w:lineRule="auto"/>
        <w:jc w:val="right"/>
        <w:rPr>
          <w:rFonts w:cs="Calibri"/>
          <w:sz w:val="24"/>
          <w:szCs w:val="24"/>
          <w:u w:val="single"/>
        </w:rPr>
      </w:pPr>
      <w:r w:rsidRPr="00AD0D14">
        <w:rPr>
          <w:rFonts w:cs="Calibri"/>
          <w:sz w:val="24"/>
          <w:szCs w:val="24"/>
          <w:u w:val="single"/>
        </w:rPr>
        <w:tab/>
      </w:r>
      <w:r w:rsidRPr="00AD0D14">
        <w:rPr>
          <w:rFonts w:cs="Calibri"/>
          <w:sz w:val="24"/>
          <w:szCs w:val="24"/>
          <w:u w:val="single"/>
        </w:rPr>
        <w:tab/>
      </w:r>
      <w:r w:rsidRPr="00AD0D14">
        <w:rPr>
          <w:rFonts w:cs="Calibri"/>
          <w:sz w:val="24"/>
          <w:szCs w:val="24"/>
          <w:u w:val="single"/>
        </w:rPr>
        <w:tab/>
      </w:r>
      <w:r w:rsidRPr="00AD0D14">
        <w:rPr>
          <w:rFonts w:cs="Calibri"/>
          <w:sz w:val="24"/>
          <w:szCs w:val="24"/>
          <w:u w:val="single"/>
        </w:rPr>
        <w:tab/>
      </w:r>
      <w:r w:rsidRPr="00AD0D14">
        <w:rPr>
          <w:rFonts w:cs="Calibri"/>
          <w:sz w:val="24"/>
          <w:szCs w:val="24"/>
          <w:u w:val="single"/>
        </w:rPr>
        <w:tab/>
      </w:r>
      <w:r w:rsidRPr="00AD0D14">
        <w:rPr>
          <w:rFonts w:cs="Calibri"/>
          <w:sz w:val="24"/>
          <w:szCs w:val="24"/>
          <w:u w:val="single"/>
        </w:rPr>
        <w:tab/>
      </w:r>
    </w:p>
    <w:p w14:paraId="176082E1" w14:textId="77777777" w:rsidR="009550BF" w:rsidRPr="00D87210" w:rsidRDefault="00A5342D" w:rsidP="00504B6A">
      <w:pPr>
        <w:ind w:firstLine="720"/>
        <w:jc w:val="right"/>
        <w:rPr>
          <w:sz w:val="24"/>
          <w:szCs w:val="24"/>
        </w:rPr>
      </w:pPr>
      <w:r>
        <w:rPr>
          <w:b/>
          <w:noProof/>
          <w:sz w:val="24"/>
          <w:szCs w:val="24"/>
        </w:rPr>
        <w:t>Sophie Barclay</w:t>
      </w:r>
    </w:p>
    <w:p w14:paraId="6C89A835" w14:textId="77777777" w:rsidR="009550BF" w:rsidRPr="00D87210" w:rsidRDefault="007F607D" w:rsidP="00504B6A">
      <w:pPr>
        <w:ind w:left="2160"/>
        <w:jc w:val="right"/>
        <w:rPr>
          <w:b/>
          <w:sz w:val="24"/>
          <w:szCs w:val="24"/>
        </w:rPr>
      </w:pPr>
      <w:r w:rsidRPr="00D87210">
        <w:rPr>
          <w:sz w:val="24"/>
          <w:szCs w:val="24"/>
        </w:rPr>
        <w:t xml:space="preserve">Counsel for </w:t>
      </w:r>
      <w:r w:rsidR="00D0135D">
        <w:rPr>
          <w:noProof/>
          <w:sz w:val="24"/>
          <w:szCs w:val="24"/>
        </w:rPr>
        <w:t>David Jeremiah Solt</w:t>
      </w:r>
    </w:p>
    <w:sectPr w:rsidR="009550BF" w:rsidRPr="00D87210" w:rsidSect="00550FF7">
      <w:headerReference w:type="first" r:id="rId12"/>
      <w:footerReference w:type="first" r:id="rId13"/>
      <w:pgSz w:w="11906" w:h="16838"/>
      <w:pgMar w:top="851" w:right="1134" w:bottom="567" w:left="3005"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68AF6" w14:textId="77777777" w:rsidR="00A6055A" w:rsidRDefault="00A6055A">
      <w:r>
        <w:separator/>
      </w:r>
    </w:p>
  </w:endnote>
  <w:endnote w:type="continuationSeparator" w:id="0">
    <w:p w14:paraId="43195CBA" w14:textId="77777777" w:rsidR="00A6055A" w:rsidRDefault="00A6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RMcV">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AEEA3" w14:textId="77777777" w:rsidR="00D7661F" w:rsidRDefault="007F607D">
    <w:pPr>
      <w:pStyle w:val="Footer"/>
      <w:framePr w:wrap="auto" w:vAnchor="text" w:hAnchor="margin" w:xAlign="right" w:y="1"/>
    </w:pPr>
    <w:r>
      <w:fldChar w:fldCharType="begin"/>
    </w:r>
    <w:r>
      <w:instrText xml:space="preserve">page  </w:instrText>
    </w:r>
    <w:r>
      <w:fldChar w:fldCharType="separate"/>
    </w:r>
    <w:r>
      <w:rPr>
        <w:noProof/>
      </w:rPr>
      <w:t>1</w:t>
    </w:r>
    <w:r>
      <w:rPr>
        <w:noProof/>
      </w:rPr>
      <w:fldChar w:fldCharType="end"/>
    </w:r>
  </w:p>
  <w:p w14:paraId="7B01B94E" w14:textId="77777777" w:rsidR="00D7661F" w:rsidRDefault="00D766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6A454" w14:textId="77777777" w:rsidR="00D7661F" w:rsidRDefault="00D7661F" w:rsidP="00A5342D">
    <w:pPr>
      <w:rPr>
        <w:lang w:val="en-US"/>
      </w:rPr>
    </w:pPr>
  </w:p>
  <w:p w14:paraId="6E8B32BC" w14:textId="77777777" w:rsidR="00C20C24" w:rsidRDefault="007F607D" w:rsidP="00C20C24">
    <w:pPr>
      <w:rPr>
        <w:noProof/>
        <w:szCs w:val="22"/>
        <w:lang w:eastAsia="en-NZ"/>
      </w:rPr>
    </w:pPr>
    <w:r w:rsidRPr="00C20C24">
      <w:rPr>
        <w:sz w:val="24"/>
        <w:szCs w:val="24"/>
      </w:rPr>
      <w:t>_______________________________________________________________</w:t>
    </w:r>
    <w:r>
      <w:rPr>
        <w:sz w:val="24"/>
        <w:szCs w:val="24"/>
      </w:rPr>
      <w:t>_</w:t>
    </w:r>
    <w:r w:rsidR="00AF7230">
      <w:rPr>
        <w:noProof/>
        <w:szCs w:val="22"/>
        <w:lang w:val="en-GB" w:eastAsia="en-GB"/>
      </w:rPr>
      <w:pict w14:anchorId="7DED0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PDS_colour_new" style="width:189.5pt;height:30pt;visibility:visible">
          <v:imagedata r:id="rId1" o:title="PDS_colour_new"/>
        </v:shape>
      </w:pict>
    </w:r>
  </w:p>
  <w:p w14:paraId="6D2638D3" w14:textId="77777777" w:rsidR="00C20C24" w:rsidRDefault="00C20C24" w:rsidP="00C20C24">
    <w:pPr>
      <w:ind w:right="-285"/>
      <w:rPr>
        <w:szCs w:val="22"/>
      </w:rPr>
    </w:pPr>
  </w:p>
  <w:p w14:paraId="6E5EF175" w14:textId="77777777" w:rsidR="001A472F" w:rsidRDefault="007F607D" w:rsidP="001A472F">
    <w:pPr>
      <w:tabs>
        <w:tab w:val="left" w:pos="2127"/>
      </w:tabs>
      <w:ind w:right="-285"/>
      <w:rPr>
        <w:b/>
        <w:sz w:val="20"/>
      </w:rPr>
    </w:pPr>
    <w:r w:rsidRPr="00680EB1">
      <w:rPr>
        <w:sz w:val="20"/>
      </w:rPr>
      <w:t>Presented for filing by:</w:t>
    </w:r>
    <w:r>
      <w:rPr>
        <w:sz w:val="20"/>
      </w:rPr>
      <w:tab/>
    </w:r>
    <w:r w:rsidR="00417E15">
      <w:rPr>
        <w:b/>
        <w:noProof/>
        <w:sz w:val="20"/>
      </w:rPr>
      <w:t>C Gisler</w:t>
    </w:r>
  </w:p>
  <w:p w14:paraId="4B620A9E" w14:textId="77777777" w:rsidR="00C10DD2" w:rsidRPr="00C10DD2" w:rsidRDefault="007F607D" w:rsidP="00C10DD2">
    <w:pPr>
      <w:tabs>
        <w:tab w:val="left" w:pos="2128"/>
      </w:tabs>
      <w:rPr>
        <w:b/>
        <w:sz w:val="20"/>
      </w:rPr>
    </w:pPr>
    <w:r>
      <w:rPr>
        <w:b/>
        <w:sz w:val="20"/>
      </w:rPr>
      <w:tab/>
    </w:r>
    <w:r w:rsidR="006964A4">
      <w:rPr>
        <w:b/>
        <w:noProof/>
        <w:sz w:val="20"/>
      </w:rPr>
      <w:t>Wellington Public Defender</w:t>
    </w:r>
  </w:p>
  <w:p w14:paraId="0B3E25A5" w14:textId="77777777" w:rsidR="001A472F" w:rsidRPr="00680EB1" w:rsidRDefault="001A472F" w:rsidP="001A472F">
    <w:pPr>
      <w:ind w:right="-285"/>
      <w:rPr>
        <w:sz w:val="20"/>
      </w:rPr>
    </w:pPr>
  </w:p>
  <w:p w14:paraId="6A36E10A" w14:textId="77777777" w:rsidR="00E44E0F" w:rsidRDefault="001A472F" w:rsidP="00E44E0F">
    <w:pPr>
      <w:tabs>
        <w:tab w:val="left" w:pos="2127"/>
      </w:tabs>
      <w:ind w:right="-285"/>
      <w:rPr>
        <w:b/>
        <w:sz w:val="20"/>
      </w:rPr>
    </w:pPr>
    <w:r w:rsidRPr="00680EB1">
      <w:rPr>
        <w:sz w:val="20"/>
      </w:rPr>
      <w:t>Counsel Appearing:</w:t>
    </w:r>
    <w:r w:rsidRPr="00680EB1">
      <w:rPr>
        <w:sz w:val="20"/>
      </w:rPr>
      <w:tab/>
    </w:r>
    <w:r w:rsidR="00417E15">
      <w:rPr>
        <w:b/>
        <w:noProof/>
        <w:sz w:val="20"/>
      </w:rPr>
      <w:t>S Barclay</w:t>
    </w:r>
  </w:p>
  <w:p w14:paraId="56641C04" w14:textId="77777777" w:rsidR="00E44E0F" w:rsidRPr="003A6FBD" w:rsidRDefault="00673468" w:rsidP="00E44E0F">
    <w:pPr>
      <w:ind w:left="2127" w:right="-285"/>
      <w:jc w:val="left"/>
      <w:rPr>
        <w:sz w:val="20"/>
      </w:rPr>
    </w:pPr>
    <w:r>
      <w:rPr>
        <w:noProof/>
        <w:sz w:val="20"/>
      </w:rPr>
      <w:t>Level 9</w:t>
    </w:r>
  </w:p>
  <w:p w14:paraId="5993A80F" w14:textId="77777777" w:rsidR="00673468" w:rsidRDefault="007F607D" w:rsidP="00E44E0F">
    <w:pPr>
      <w:ind w:left="2127" w:right="-285"/>
      <w:jc w:val="left"/>
      <w:rPr>
        <w:sz w:val="20"/>
      </w:rPr>
    </w:pPr>
    <w:r>
      <w:rPr>
        <w:noProof/>
        <w:sz w:val="20"/>
      </w:rPr>
      <w:t>Prime Property Tower</w:t>
    </w:r>
  </w:p>
  <w:p w14:paraId="10A322CA" w14:textId="77777777" w:rsidR="00673468" w:rsidRDefault="007F607D" w:rsidP="00E44E0F">
    <w:pPr>
      <w:ind w:left="2127" w:right="-285"/>
      <w:jc w:val="left"/>
      <w:rPr>
        <w:sz w:val="20"/>
      </w:rPr>
    </w:pPr>
    <w:r>
      <w:rPr>
        <w:noProof/>
        <w:sz w:val="20"/>
      </w:rPr>
      <w:t>86-90 Lambton Quay</w:t>
    </w:r>
  </w:p>
  <w:p w14:paraId="5D7A62F7" w14:textId="77777777" w:rsidR="00673468" w:rsidRDefault="007F607D" w:rsidP="00E44E0F">
    <w:pPr>
      <w:ind w:left="2127" w:right="-285"/>
      <w:jc w:val="left"/>
      <w:rPr>
        <w:sz w:val="20"/>
      </w:rPr>
    </w:pPr>
    <w:r>
      <w:rPr>
        <w:noProof/>
        <w:sz w:val="20"/>
      </w:rPr>
      <w:t>Wellington Central, Wellington 6011</w:t>
    </w:r>
  </w:p>
  <w:p w14:paraId="3B3397CA" w14:textId="77777777" w:rsidR="00E44E0F" w:rsidRPr="00680EB1" w:rsidRDefault="007F607D" w:rsidP="00673468">
    <w:pPr>
      <w:tabs>
        <w:tab w:val="left" w:pos="3261"/>
      </w:tabs>
      <w:ind w:left="2127" w:right="-285"/>
      <w:rPr>
        <w:sz w:val="20"/>
      </w:rPr>
    </w:pPr>
    <w:r w:rsidRPr="00680EB1">
      <w:rPr>
        <w:sz w:val="20"/>
      </w:rPr>
      <w:t>Telephone:</w:t>
    </w:r>
    <w:r w:rsidR="00673468">
      <w:rPr>
        <w:sz w:val="20"/>
      </w:rPr>
      <w:tab/>
    </w:r>
    <w:r w:rsidR="00673468">
      <w:rPr>
        <w:noProof/>
        <w:sz w:val="20"/>
      </w:rPr>
      <w:t>04 4953642</w:t>
    </w:r>
  </w:p>
  <w:p w14:paraId="4552F61A" w14:textId="77777777" w:rsidR="00E44E0F" w:rsidRDefault="007F607D" w:rsidP="00673468">
    <w:pPr>
      <w:tabs>
        <w:tab w:val="left" w:pos="2127"/>
        <w:tab w:val="left" w:pos="3261"/>
      </w:tabs>
      <w:ind w:left="2127" w:right="-285"/>
      <w:rPr>
        <w:sz w:val="20"/>
      </w:rPr>
    </w:pPr>
    <w:r w:rsidRPr="00680EB1">
      <w:rPr>
        <w:sz w:val="20"/>
      </w:rPr>
      <w:t>Fa</w:t>
    </w:r>
    <w:r>
      <w:rPr>
        <w:sz w:val="20"/>
      </w:rPr>
      <w:t>x:</w:t>
    </w:r>
    <w:r w:rsidR="00673468">
      <w:rPr>
        <w:sz w:val="20"/>
      </w:rPr>
      <w:tab/>
    </w:r>
  </w:p>
  <w:p w14:paraId="1AB8157F" w14:textId="77777777" w:rsidR="00E4198B" w:rsidRDefault="00673468" w:rsidP="00673468">
    <w:pPr>
      <w:tabs>
        <w:tab w:val="left" w:pos="2127"/>
        <w:tab w:val="left" w:pos="3261"/>
      </w:tabs>
      <w:ind w:left="2127" w:right="-285"/>
      <w:rPr>
        <w:sz w:val="20"/>
      </w:rPr>
    </w:pPr>
    <w:r>
      <w:rPr>
        <w:sz w:val="20"/>
      </w:rPr>
      <w:t>E</w:t>
    </w:r>
    <w:r w:rsidR="00E44E0F" w:rsidRPr="00680EB1">
      <w:rPr>
        <w:sz w:val="20"/>
      </w:rPr>
      <w:t>mail:</w:t>
    </w:r>
    <w:r>
      <w:rPr>
        <w:sz w:val="20"/>
      </w:rPr>
      <w:tab/>
    </w:r>
    <w:r>
      <w:rPr>
        <w:noProof/>
        <w:sz w:val="20"/>
      </w:rPr>
      <w:t>Sophie.Barclay@pds.govt.nz</w:t>
    </w:r>
  </w:p>
  <w:p w14:paraId="231D58A5" w14:textId="77777777" w:rsidR="00673468" w:rsidRPr="00E4198B" w:rsidRDefault="00673468" w:rsidP="00673468">
    <w:pPr>
      <w:tabs>
        <w:tab w:val="left" w:pos="2127"/>
        <w:tab w:val="left" w:pos="3261"/>
      </w:tabs>
      <w:ind w:right="-285"/>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B0442" w14:textId="77777777" w:rsidR="00D7661F" w:rsidRPr="00A5342D" w:rsidRDefault="00D7661F" w:rsidP="00A534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FBB9A" w14:textId="77777777" w:rsidR="00A6055A" w:rsidRDefault="00A6055A" w:rsidP="00087E37">
      <w:r>
        <w:separator/>
      </w:r>
    </w:p>
  </w:footnote>
  <w:footnote w:type="continuationSeparator" w:id="0">
    <w:p w14:paraId="463E0D47" w14:textId="77777777" w:rsidR="00A6055A" w:rsidRDefault="00A6055A" w:rsidP="00087E37">
      <w:r>
        <w:continuationSeparator/>
      </w:r>
    </w:p>
  </w:footnote>
  <w:footnote w:id="1">
    <w:p w14:paraId="0A768A6B" w14:textId="77777777" w:rsidR="00D7661F" w:rsidRDefault="007F607D" w:rsidP="006E4A55">
      <w:pPr>
        <w:pStyle w:val="FootnoteText"/>
      </w:pPr>
      <w:r w:rsidRPr="005E6838">
        <w:rPr>
          <w:rStyle w:val="FootnoteReference"/>
          <w:rFonts w:cs="Calibri"/>
        </w:rPr>
        <w:footnoteRef/>
      </w:r>
      <w:r w:rsidRPr="005E6838">
        <w:rPr>
          <w:rFonts w:cs="Calibri"/>
        </w:rPr>
        <w:t xml:space="preserve"> Affidavit of </w:t>
      </w:r>
      <w:r w:rsidRPr="007A4998">
        <w:rPr>
          <w:rFonts w:cs="Calibri"/>
          <w:noProof/>
        </w:rPr>
        <w:t>David Jeremiah Solt</w:t>
      </w:r>
      <w:r>
        <w:rPr>
          <w:rFonts w:cs="Calibri"/>
        </w:rPr>
        <w:t xml:space="preserve">: </w:t>
      </w:r>
      <w:r w:rsidRPr="005E6838">
        <w:rPr>
          <w:rFonts w:cs="Calibri"/>
        </w:rPr>
        <w:t>Tab 1.</w:t>
      </w:r>
    </w:p>
  </w:footnote>
  <w:footnote w:id="2">
    <w:p w14:paraId="00A8E40C" w14:textId="77777777" w:rsidR="0016211D" w:rsidRDefault="0016211D" w:rsidP="0016211D">
      <w:pPr>
        <w:pStyle w:val="FootnoteText"/>
        <w:ind w:left="567" w:hanging="567"/>
      </w:pPr>
      <w:r w:rsidRPr="005E6838">
        <w:rPr>
          <w:rStyle w:val="FootnoteReference"/>
          <w:rFonts w:cs="Calibri"/>
        </w:rPr>
        <w:footnoteRef/>
      </w:r>
      <w:r w:rsidRPr="005E6838">
        <w:rPr>
          <w:rFonts w:cs="Calibri"/>
        </w:rPr>
        <w:t xml:space="preserve"> </w:t>
      </w:r>
      <w:r w:rsidRPr="005E6838">
        <w:rPr>
          <w:rFonts w:cs="Calibri"/>
          <w:i/>
        </w:rPr>
        <w:t>R v Hughes</w:t>
      </w:r>
      <w:r w:rsidRPr="005E6838">
        <w:rPr>
          <w:rFonts w:cs="Calibri"/>
        </w:rPr>
        <w:t xml:space="preserve"> [2008] NZCA 546, [2009] 3 NZLR 223.</w:t>
      </w:r>
    </w:p>
  </w:footnote>
  <w:footnote w:id="3">
    <w:p w14:paraId="6A41442C" w14:textId="77777777" w:rsidR="0016211D" w:rsidRDefault="0016211D" w:rsidP="0016211D">
      <w:pPr>
        <w:pStyle w:val="FootnoteText"/>
      </w:pPr>
      <w:r w:rsidRPr="005E6838">
        <w:rPr>
          <w:rStyle w:val="FootnoteReference"/>
        </w:rPr>
        <w:footnoteRef/>
      </w:r>
      <w:r>
        <w:t xml:space="preserve"> Above </w:t>
      </w:r>
      <w:r w:rsidRPr="005E6838">
        <w:t>[16].</w:t>
      </w:r>
    </w:p>
  </w:footnote>
  <w:footnote w:id="4">
    <w:p w14:paraId="64E14571" w14:textId="77777777" w:rsidR="0016211D" w:rsidRDefault="0016211D" w:rsidP="0016211D">
      <w:pPr>
        <w:pStyle w:val="FootnoteText"/>
      </w:pPr>
      <w:r w:rsidRPr="005E6838">
        <w:rPr>
          <w:rStyle w:val="FootnoteReference"/>
        </w:rPr>
        <w:footnoteRef/>
      </w:r>
      <w:r w:rsidRPr="005E6838">
        <w:t xml:space="preserve"> </w:t>
      </w:r>
      <w:r>
        <w:t xml:space="preserve">At </w:t>
      </w:r>
      <w:r w:rsidRPr="005E6838">
        <w:t>[17].</w:t>
      </w:r>
    </w:p>
  </w:footnote>
  <w:footnote w:id="5">
    <w:p w14:paraId="3131F637" w14:textId="77777777" w:rsidR="0016211D" w:rsidRDefault="0016211D" w:rsidP="0016211D">
      <w:pPr>
        <w:pStyle w:val="FootnoteText"/>
      </w:pPr>
      <w:r w:rsidRPr="003B3840">
        <w:rPr>
          <w:rStyle w:val="FootnoteReference"/>
        </w:rPr>
        <w:footnoteRef/>
      </w:r>
      <w:r w:rsidRPr="003B3840">
        <w:t xml:space="preserve"> </w:t>
      </w:r>
      <w:r>
        <w:rPr>
          <w:i/>
        </w:rPr>
        <w:t>Z</w:t>
      </w:r>
      <w:r w:rsidRPr="003B3840">
        <w:rPr>
          <w:i/>
        </w:rPr>
        <w:t>(CA447/2012) v R</w:t>
      </w:r>
      <w:r w:rsidRPr="003B3840">
        <w:t xml:space="preserve"> [2012] NZCA 599.</w:t>
      </w:r>
    </w:p>
  </w:footnote>
  <w:footnote w:id="6">
    <w:p w14:paraId="64BF609D" w14:textId="77777777" w:rsidR="0016211D" w:rsidRDefault="0016211D" w:rsidP="0016211D">
      <w:pPr>
        <w:pStyle w:val="FootnoteText"/>
      </w:pPr>
      <w:r>
        <w:rPr>
          <w:rStyle w:val="FootnoteReference"/>
        </w:rPr>
        <w:footnoteRef/>
      </w:r>
      <w:r>
        <w:t xml:space="preserve"> </w:t>
      </w:r>
      <w:r w:rsidRPr="00691672">
        <w:t xml:space="preserve">Referring to </w:t>
      </w:r>
      <w:r w:rsidRPr="00691672">
        <w:rPr>
          <w:rFonts w:cs="Calibri"/>
          <w:i/>
        </w:rPr>
        <w:t xml:space="preserve">R v Blythe </w:t>
      </w:r>
      <w:r w:rsidRPr="00691672">
        <w:rPr>
          <w:rFonts w:cs="Calibri"/>
        </w:rPr>
        <w:t>[2011] NZCA 190, [2011] 2 NZLR 620</w:t>
      </w:r>
      <w:r>
        <w:rPr>
          <w:rFonts w:cs="Calibri"/>
        </w:rPr>
        <w:t>,</w:t>
      </w:r>
      <w:r w:rsidRPr="00691672">
        <w:rPr>
          <w:rFonts w:cs="Calibri"/>
        </w:rPr>
        <w:t xml:space="preserve"> </w:t>
      </w:r>
      <w:r>
        <w:rPr>
          <w:rFonts w:cs="Calibri"/>
          <w:i/>
        </w:rPr>
        <w:t>A</w:t>
      </w:r>
      <w:r w:rsidRPr="00691672">
        <w:rPr>
          <w:rFonts w:cs="Calibri"/>
          <w:i/>
        </w:rPr>
        <w:t>(CA747/2010) v R</w:t>
      </w:r>
      <w:r w:rsidRPr="00691672">
        <w:rPr>
          <w:rFonts w:cs="Calibri"/>
        </w:rPr>
        <w:t xml:space="preserve"> [2011] NZCA 328</w:t>
      </w:r>
      <w:r>
        <w:rPr>
          <w:rFonts w:cs="Calibri"/>
        </w:rPr>
        <w:t xml:space="preserve"> and </w:t>
      </w:r>
      <w:r w:rsidRPr="00691672">
        <w:rPr>
          <w:rFonts w:cs="Calibri"/>
          <w:i/>
        </w:rPr>
        <w:t>Brown v R</w:t>
      </w:r>
      <w:r>
        <w:rPr>
          <w:rFonts w:cs="Calibri"/>
        </w:rPr>
        <w:t xml:space="preserve"> [2012] NZCA 197</w:t>
      </w:r>
      <w:r w:rsidRPr="00691672">
        <w:rPr>
          <w:rFonts w:cs="Calibri"/>
        </w:rPr>
        <w:t>.</w:t>
      </w:r>
    </w:p>
  </w:footnote>
  <w:footnote w:id="7">
    <w:p w14:paraId="1CEA4F90" w14:textId="77777777" w:rsidR="0016211D" w:rsidRDefault="0016211D" w:rsidP="0016211D">
      <w:pPr>
        <w:pStyle w:val="FootnoteText"/>
      </w:pPr>
      <w:r w:rsidRPr="00DA6CA5">
        <w:rPr>
          <w:rStyle w:val="FootnoteReference"/>
        </w:rPr>
        <w:footnoteRef/>
      </w:r>
      <w:r w:rsidRPr="00DA6CA5">
        <w:t xml:space="preserve"> </w:t>
      </w:r>
      <w:r>
        <w:t>Ibid 5, at</w:t>
      </w:r>
      <w:r w:rsidRPr="00DA6CA5">
        <w:t xml:space="preserve"> [28].</w:t>
      </w:r>
    </w:p>
  </w:footnote>
  <w:footnote w:id="8">
    <w:p w14:paraId="63FB09B2" w14:textId="77777777" w:rsidR="0016211D" w:rsidRDefault="0016211D" w:rsidP="0016211D">
      <w:pPr>
        <w:pStyle w:val="FootnoteText"/>
      </w:pPr>
      <w:r w:rsidRPr="00DA6CA5">
        <w:rPr>
          <w:rStyle w:val="FootnoteReference"/>
        </w:rPr>
        <w:footnoteRef/>
      </w:r>
      <w:r>
        <w:t xml:space="preserve"> A</w:t>
      </w:r>
      <w:r w:rsidRPr="00DA6CA5">
        <w:t>t [27].</w:t>
      </w:r>
    </w:p>
  </w:footnote>
  <w:footnote w:id="9">
    <w:p w14:paraId="30AFEF52" w14:textId="77777777" w:rsidR="0016211D" w:rsidRDefault="0016211D" w:rsidP="0016211D">
      <w:pPr>
        <w:pStyle w:val="FootnoteText"/>
      </w:pPr>
      <w:r w:rsidRPr="005E6838">
        <w:rPr>
          <w:rStyle w:val="FootnoteReference"/>
        </w:rPr>
        <w:footnoteRef/>
      </w:r>
      <w:r w:rsidRPr="005E6838">
        <w:t xml:space="preserve"> </w:t>
      </w:r>
      <w:r>
        <w:t>Ibid 2, at</w:t>
      </w:r>
      <w:r w:rsidRPr="005E6838">
        <w:t xml:space="preserve"> [42] and [49].</w:t>
      </w:r>
    </w:p>
  </w:footnote>
  <w:footnote w:id="10">
    <w:p w14:paraId="687CE7B7" w14:textId="77777777" w:rsidR="0016211D" w:rsidRDefault="0016211D" w:rsidP="0016211D">
      <w:pPr>
        <w:pStyle w:val="FootnoteText"/>
      </w:pPr>
      <w:r w:rsidRPr="005E6838">
        <w:rPr>
          <w:rStyle w:val="FootnoteReference"/>
        </w:rPr>
        <w:footnoteRef/>
      </w:r>
      <w:r w:rsidRPr="005E6838">
        <w:t xml:space="preserve"> </w:t>
      </w:r>
      <w:r>
        <w:rPr>
          <w:i/>
        </w:rPr>
        <w:t xml:space="preserve">R v </w:t>
      </w:r>
      <w:r w:rsidRPr="00763204">
        <w:rPr>
          <w:i/>
        </w:rPr>
        <w:t>Blyth</w:t>
      </w:r>
      <w:r>
        <w:t xml:space="preserve"> (Supra)</w:t>
      </w:r>
      <w:r w:rsidRPr="005E6838">
        <w:t>, at [13].</w:t>
      </w:r>
    </w:p>
  </w:footnote>
  <w:footnote w:id="11">
    <w:p w14:paraId="1AD249E6" w14:textId="77777777" w:rsidR="0016211D" w:rsidRPr="004F5A56" w:rsidRDefault="0016211D" w:rsidP="0016211D">
      <w:pPr>
        <w:pStyle w:val="FootnoteText"/>
      </w:pPr>
      <w:r>
        <w:rPr>
          <w:rStyle w:val="FootnoteReference"/>
        </w:rPr>
        <w:footnoteRef/>
      </w:r>
      <w:r>
        <w:t xml:space="preserve"> </w:t>
      </w:r>
      <w:r>
        <w:rPr>
          <w:i/>
        </w:rPr>
        <w:t xml:space="preserve">Delaney v Police </w:t>
      </w:r>
      <w:r>
        <w:t>22/04.05, Miller J, HC Wellington CRI-2005-485-22</w:t>
      </w:r>
    </w:p>
  </w:footnote>
  <w:footnote w:id="12">
    <w:p w14:paraId="43AC7C65" w14:textId="77777777" w:rsidR="0016211D" w:rsidRDefault="0016211D" w:rsidP="0016211D">
      <w:pPr>
        <w:pStyle w:val="FootnoteText"/>
      </w:pPr>
      <w:r>
        <w:rPr>
          <w:rStyle w:val="FootnoteReference"/>
        </w:rPr>
        <w:footnoteRef/>
      </w:r>
      <w:r>
        <w:t xml:space="preserve"> </w:t>
      </w:r>
      <w:r w:rsidRPr="007C6040">
        <w:rPr>
          <w:i/>
        </w:rPr>
        <w:t>W v Police</w:t>
      </w:r>
      <w:r>
        <w:t xml:space="preserve"> [2019] NZHC 534.</w:t>
      </w:r>
    </w:p>
  </w:footnote>
  <w:footnote w:id="13">
    <w:p w14:paraId="617C15E9" w14:textId="77777777" w:rsidR="00C02EBB" w:rsidRDefault="00C02EBB" w:rsidP="00C02EBB">
      <w:pPr>
        <w:pStyle w:val="FootnoteText"/>
      </w:pPr>
      <w:r>
        <w:rPr>
          <w:rStyle w:val="FootnoteReference"/>
        </w:rPr>
        <w:footnoteRef/>
      </w:r>
      <w:r>
        <w:t xml:space="preserve"> </w:t>
      </w:r>
      <w:r w:rsidRPr="00F75FF2">
        <w:rPr>
          <w:i/>
        </w:rPr>
        <w:t>Albert v R</w:t>
      </w:r>
      <w:r>
        <w:t xml:space="preserve"> [2017] NZHC 102.</w:t>
      </w:r>
    </w:p>
  </w:footnote>
  <w:footnote w:id="14">
    <w:p w14:paraId="706166AE" w14:textId="77777777" w:rsidR="00C02EBB" w:rsidRDefault="00C02EBB" w:rsidP="00C02EBB">
      <w:pPr>
        <w:pStyle w:val="FootnoteText"/>
      </w:pPr>
      <w:r>
        <w:rPr>
          <w:rStyle w:val="FootnoteReference"/>
        </w:rPr>
        <w:footnoteRef/>
      </w:r>
      <w:r>
        <w:t xml:space="preserve"> At [25].</w:t>
      </w:r>
    </w:p>
  </w:footnote>
  <w:footnote w:id="15">
    <w:p w14:paraId="63AD15A6" w14:textId="77777777" w:rsidR="00C02EBB" w:rsidRDefault="00C02EBB" w:rsidP="00C02EBB">
      <w:pPr>
        <w:pStyle w:val="FootnoteText"/>
      </w:pPr>
      <w:r>
        <w:rPr>
          <w:rStyle w:val="FootnoteReference"/>
        </w:rPr>
        <w:footnoteRef/>
      </w:r>
      <w:r>
        <w:t xml:space="preserve"> </w:t>
      </w:r>
      <w:r w:rsidRPr="00093F71">
        <w:rPr>
          <w:i/>
        </w:rPr>
        <w:t>R v  Findlay</w:t>
      </w:r>
      <w:r>
        <w:t xml:space="preserve"> [2007] NZCA 533 at [91].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C35C4" w14:textId="77777777" w:rsidR="00D7661F" w:rsidRDefault="007F607D">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A765AA" w14:textId="77777777" w:rsidR="00D7661F" w:rsidRDefault="00D7661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1FC3F" w14:textId="77777777" w:rsidR="00D7661F" w:rsidRPr="00550FF7" w:rsidRDefault="007F607D">
    <w:pPr>
      <w:pStyle w:val="Header"/>
      <w:jc w:val="right"/>
      <w:rPr>
        <w:sz w:val="24"/>
        <w:szCs w:val="24"/>
      </w:rPr>
    </w:pPr>
    <w:r w:rsidRPr="00550FF7">
      <w:rPr>
        <w:sz w:val="24"/>
        <w:szCs w:val="24"/>
      </w:rPr>
      <w:fldChar w:fldCharType="begin"/>
    </w:r>
    <w:r w:rsidRPr="00550FF7">
      <w:rPr>
        <w:sz w:val="24"/>
        <w:szCs w:val="24"/>
      </w:rPr>
      <w:instrText xml:space="preserve"> PAGE   \* MERGEFORMAT </w:instrText>
    </w:r>
    <w:r w:rsidRPr="00550FF7">
      <w:rPr>
        <w:sz w:val="24"/>
        <w:szCs w:val="24"/>
      </w:rPr>
      <w:fldChar w:fldCharType="separate"/>
    </w:r>
    <w:r w:rsidR="00956AB8">
      <w:rPr>
        <w:noProof/>
        <w:sz w:val="24"/>
        <w:szCs w:val="24"/>
      </w:rPr>
      <w:t>3</w:t>
    </w:r>
    <w:r w:rsidRPr="00550FF7">
      <w:rPr>
        <w:sz w:val="24"/>
        <w:szCs w:val="24"/>
      </w:rPr>
      <w:fldChar w:fldCharType="end"/>
    </w:r>
  </w:p>
  <w:p w14:paraId="58C6FEA9" w14:textId="77777777" w:rsidR="00D7661F" w:rsidRDefault="00D766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140F0" w14:textId="77777777" w:rsidR="00D7661F" w:rsidRPr="00550FF7" w:rsidRDefault="007F607D" w:rsidP="00A5342D">
    <w:pPr>
      <w:jc w:val="right"/>
    </w:pPr>
    <w:r>
      <w:fldChar w:fldCharType="begin"/>
    </w:r>
    <w:r>
      <w:instrText xml:space="preserve"> PAGE   \* MERGEFORMAT </w:instrText>
    </w:r>
    <w:r>
      <w:fldChar w:fldCharType="separate"/>
    </w:r>
    <w:r w:rsidR="00956AB8">
      <w:rPr>
        <w:noProof/>
      </w:rPr>
      <w:t>1</w:t>
    </w:r>
    <w:r>
      <w:rPr>
        <w:noProof/>
      </w:rPr>
      <w:fldChar w:fldCharType="end"/>
    </w:r>
  </w:p>
  <w:p w14:paraId="78B517EB" w14:textId="77777777" w:rsidR="00D7661F" w:rsidRDefault="00D7661F" w:rsidP="00A5342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F1E32"/>
    <w:multiLevelType w:val="hybridMultilevel"/>
    <w:tmpl w:val="35D46BD2"/>
    <w:lvl w:ilvl="0" w:tplc="CC64ADBC">
      <w:start w:val="1"/>
      <w:numFmt w:val="lowerLetter"/>
      <w:lvlText w:val="%1)"/>
      <w:lvlJc w:val="left"/>
      <w:pPr>
        <w:ind w:left="900" w:hanging="360"/>
      </w:pPr>
      <w:rPr>
        <w:rFonts w:hint="default"/>
      </w:rPr>
    </w:lvl>
    <w:lvl w:ilvl="1" w:tplc="715C3182" w:tentative="1">
      <w:start w:val="1"/>
      <w:numFmt w:val="lowerLetter"/>
      <w:lvlText w:val="%2."/>
      <w:lvlJc w:val="left"/>
      <w:pPr>
        <w:ind w:left="1620" w:hanging="360"/>
      </w:pPr>
    </w:lvl>
    <w:lvl w:ilvl="2" w:tplc="A1525A02" w:tentative="1">
      <w:start w:val="1"/>
      <w:numFmt w:val="lowerRoman"/>
      <w:lvlText w:val="%3."/>
      <w:lvlJc w:val="right"/>
      <w:pPr>
        <w:ind w:left="2340" w:hanging="180"/>
      </w:pPr>
    </w:lvl>
    <w:lvl w:ilvl="3" w:tplc="6776B66E" w:tentative="1">
      <w:start w:val="1"/>
      <w:numFmt w:val="decimal"/>
      <w:lvlText w:val="%4."/>
      <w:lvlJc w:val="left"/>
      <w:pPr>
        <w:ind w:left="3060" w:hanging="360"/>
      </w:pPr>
    </w:lvl>
    <w:lvl w:ilvl="4" w:tplc="0A2806C4" w:tentative="1">
      <w:start w:val="1"/>
      <w:numFmt w:val="lowerLetter"/>
      <w:lvlText w:val="%5."/>
      <w:lvlJc w:val="left"/>
      <w:pPr>
        <w:ind w:left="3780" w:hanging="360"/>
      </w:pPr>
    </w:lvl>
    <w:lvl w:ilvl="5" w:tplc="E24891D6" w:tentative="1">
      <w:start w:val="1"/>
      <w:numFmt w:val="lowerRoman"/>
      <w:lvlText w:val="%6."/>
      <w:lvlJc w:val="right"/>
      <w:pPr>
        <w:ind w:left="4500" w:hanging="180"/>
      </w:pPr>
    </w:lvl>
    <w:lvl w:ilvl="6" w:tplc="661A87FA" w:tentative="1">
      <w:start w:val="1"/>
      <w:numFmt w:val="decimal"/>
      <w:lvlText w:val="%7."/>
      <w:lvlJc w:val="left"/>
      <w:pPr>
        <w:ind w:left="5220" w:hanging="360"/>
      </w:pPr>
    </w:lvl>
    <w:lvl w:ilvl="7" w:tplc="29CE1288" w:tentative="1">
      <w:start w:val="1"/>
      <w:numFmt w:val="lowerLetter"/>
      <w:lvlText w:val="%8."/>
      <w:lvlJc w:val="left"/>
      <w:pPr>
        <w:ind w:left="5940" w:hanging="360"/>
      </w:pPr>
    </w:lvl>
    <w:lvl w:ilvl="8" w:tplc="59300D3E" w:tentative="1">
      <w:start w:val="1"/>
      <w:numFmt w:val="lowerRoman"/>
      <w:lvlText w:val="%9."/>
      <w:lvlJc w:val="right"/>
      <w:pPr>
        <w:ind w:left="6660" w:hanging="180"/>
      </w:pPr>
    </w:lvl>
  </w:abstractNum>
  <w:abstractNum w:abstractNumId="1" w15:restartNumberingAfterBreak="0">
    <w:nsid w:val="2FAE5EEA"/>
    <w:multiLevelType w:val="hybridMultilevel"/>
    <w:tmpl w:val="E65E2470"/>
    <w:lvl w:ilvl="0" w:tplc="84228D44">
      <w:start w:val="16"/>
      <w:numFmt w:val="decimal"/>
      <w:lvlText w:val="%1"/>
      <w:lvlJc w:val="left"/>
      <w:pPr>
        <w:tabs>
          <w:tab w:val="num" w:pos="1571"/>
        </w:tabs>
        <w:ind w:left="1571" w:hanging="851"/>
      </w:pPr>
      <w:rPr>
        <w:rFonts w:hint="default"/>
        <w:b w:val="0"/>
        <w:i w:val="0"/>
      </w:rPr>
    </w:lvl>
    <w:lvl w:ilvl="1" w:tplc="05E8F654" w:tentative="1">
      <w:start w:val="1"/>
      <w:numFmt w:val="lowerLetter"/>
      <w:lvlText w:val="%2."/>
      <w:lvlJc w:val="left"/>
      <w:pPr>
        <w:ind w:left="2160" w:hanging="360"/>
      </w:pPr>
    </w:lvl>
    <w:lvl w:ilvl="2" w:tplc="8012B6D4" w:tentative="1">
      <w:start w:val="1"/>
      <w:numFmt w:val="lowerRoman"/>
      <w:lvlText w:val="%3."/>
      <w:lvlJc w:val="right"/>
      <w:pPr>
        <w:ind w:left="2880" w:hanging="180"/>
      </w:pPr>
    </w:lvl>
    <w:lvl w:ilvl="3" w:tplc="798C80AC" w:tentative="1">
      <w:start w:val="1"/>
      <w:numFmt w:val="decimal"/>
      <w:lvlText w:val="%4."/>
      <w:lvlJc w:val="left"/>
      <w:pPr>
        <w:ind w:left="3600" w:hanging="360"/>
      </w:pPr>
    </w:lvl>
    <w:lvl w:ilvl="4" w:tplc="B52013FE" w:tentative="1">
      <w:start w:val="1"/>
      <w:numFmt w:val="lowerLetter"/>
      <w:lvlText w:val="%5."/>
      <w:lvlJc w:val="left"/>
      <w:pPr>
        <w:ind w:left="4320" w:hanging="360"/>
      </w:pPr>
    </w:lvl>
    <w:lvl w:ilvl="5" w:tplc="5DD4FB50" w:tentative="1">
      <w:start w:val="1"/>
      <w:numFmt w:val="lowerRoman"/>
      <w:lvlText w:val="%6."/>
      <w:lvlJc w:val="right"/>
      <w:pPr>
        <w:ind w:left="5040" w:hanging="180"/>
      </w:pPr>
    </w:lvl>
    <w:lvl w:ilvl="6" w:tplc="CB82B078" w:tentative="1">
      <w:start w:val="1"/>
      <w:numFmt w:val="decimal"/>
      <w:lvlText w:val="%7."/>
      <w:lvlJc w:val="left"/>
      <w:pPr>
        <w:ind w:left="5760" w:hanging="360"/>
      </w:pPr>
    </w:lvl>
    <w:lvl w:ilvl="7" w:tplc="7F9A9972" w:tentative="1">
      <w:start w:val="1"/>
      <w:numFmt w:val="lowerLetter"/>
      <w:lvlText w:val="%8."/>
      <w:lvlJc w:val="left"/>
      <w:pPr>
        <w:ind w:left="6480" w:hanging="360"/>
      </w:pPr>
    </w:lvl>
    <w:lvl w:ilvl="8" w:tplc="425AEC82" w:tentative="1">
      <w:start w:val="1"/>
      <w:numFmt w:val="lowerRoman"/>
      <w:lvlText w:val="%9."/>
      <w:lvlJc w:val="right"/>
      <w:pPr>
        <w:ind w:left="7200" w:hanging="180"/>
      </w:pPr>
    </w:lvl>
  </w:abstractNum>
  <w:abstractNum w:abstractNumId="2" w15:restartNumberingAfterBreak="0">
    <w:nsid w:val="3A86730C"/>
    <w:multiLevelType w:val="hybridMultilevel"/>
    <w:tmpl w:val="C79AE348"/>
    <w:lvl w:ilvl="0" w:tplc="2CC851D4">
      <w:start w:val="12"/>
      <w:numFmt w:val="decimal"/>
      <w:lvlText w:val="%1"/>
      <w:lvlJc w:val="left"/>
      <w:pPr>
        <w:tabs>
          <w:tab w:val="num" w:pos="851"/>
        </w:tabs>
        <w:ind w:left="851" w:hanging="851"/>
      </w:pPr>
      <w:rPr>
        <w:rFonts w:hint="default"/>
        <w:b w:val="0"/>
        <w:i w:val="0"/>
      </w:rPr>
    </w:lvl>
    <w:lvl w:ilvl="1" w:tplc="B9908210">
      <w:start w:val="1"/>
      <w:numFmt w:val="lowerLetter"/>
      <w:lvlText w:val="%2."/>
      <w:lvlJc w:val="left"/>
      <w:pPr>
        <w:ind w:left="1440" w:hanging="360"/>
      </w:pPr>
    </w:lvl>
    <w:lvl w:ilvl="2" w:tplc="1CB23AF2" w:tentative="1">
      <w:start w:val="1"/>
      <w:numFmt w:val="lowerRoman"/>
      <w:lvlText w:val="%3."/>
      <w:lvlJc w:val="right"/>
      <w:pPr>
        <w:ind w:left="2160" w:hanging="180"/>
      </w:pPr>
    </w:lvl>
    <w:lvl w:ilvl="3" w:tplc="BA26D5B0" w:tentative="1">
      <w:start w:val="1"/>
      <w:numFmt w:val="decimal"/>
      <w:lvlText w:val="%4."/>
      <w:lvlJc w:val="left"/>
      <w:pPr>
        <w:ind w:left="2880" w:hanging="360"/>
      </w:pPr>
    </w:lvl>
    <w:lvl w:ilvl="4" w:tplc="80CCB34C" w:tentative="1">
      <w:start w:val="1"/>
      <w:numFmt w:val="lowerLetter"/>
      <w:lvlText w:val="%5."/>
      <w:lvlJc w:val="left"/>
      <w:pPr>
        <w:ind w:left="3600" w:hanging="360"/>
      </w:pPr>
    </w:lvl>
    <w:lvl w:ilvl="5" w:tplc="D89C8C64" w:tentative="1">
      <w:start w:val="1"/>
      <w:numFmt w:val="lowerRoman"/>
      <w:lvlText w:val="%6."/>
      <w:lvlJc w:val="right"/>
      <w:pPr>
        <w:ind w:left="4320" w:hanging="180"/>
      </w:pPr>
    </w:lvl>
    <w:lvl w:ilvl="6" w:tplc="7B04D622" w:tentative="1">
      <w:start w:val="1"/>
      <w:numFmt w:val="decimal"/>
      <w:lvlText w:val="%7."/>
      <w:lvlJc w:val="left"/>
      <w:pPr>
        <w:ind w:left="5040" w:hanging="360"/>
      </w:pPr>
    </w:lvl>
    <w:lvl w:ilvl="7" w:tplc="954AE136" w:tentative="1">
      <w:start w:val="1"/>
      <w:numFmt w:val="lowerLetter"/>
      <w:lvlText w:val="%8."/>
      <w:lvlJc w:val="left"/>
      <w:pPr>
        <w:ind w:left="5760" w:hanging="360"/>
      </w:pPr>
    </w:lvl>
    <w:lvl w:ilvl="8" w:tplc="8E222D76" w:tentative="1">
      <w:start w:val="1"/>
      <w:numFmt w:val="lowerRoman"/>
      <w:lvlText w:val="%9."/>
      <w:lvlJc w:val="right"/>
      <w:pPr>
        <w:ind w:left="6480" w:hanging="180"/>
      </w:pPr>
    </w:lvl>
  </w:abstractNum>
  <w:abstractNum w:abstractNumId="3" w15:restartNumberingAfterBreak="0">
    <w:nsid w:val="47292252"/>
    <w:multiLevelType w:val="hybridMultilevel"/>
    <w:tmpl w:val="EE561CE8"/>
    <w:lvl w:ilvl="0" w:tplc="6E68EE9C">
      <w:start w:val="1"/>
      <w:numFmt w:val="decimal"/>
      <w:lvlText w:val="%1"/>
      <w:lvlJc w:val="left"/>
      <w:pPr>
        <w:ind w:left="360" w:hanging="360"/>
      </w:pPr>
      <w:rPr>
        <w:rFonts w:hint="default"/>
        <w:b w:val="0"/>
        <w:i w:val="0"/>
      </w:rPr>
    </w:lvl>
    <w:lvl w:ilvl="1" w:tplc="6FA0A66E">
      <w:start w:val="1"/>
      <w:numFmt w:val="lowerLetter"/>
      <w:lvlText w:val="%2."/>
      <w:lvlJc w:val="left"/>
      <w:pPr>
        <w:ind w:left="1080" w:hanging="360"/>
      </w:pPr>
    </w:lvl>
    <w:lvl w:ilvl="2" w:tplc="485C4654" w:tentative="1">
      <w:start w:val="1"/>
      <w:numFmt w:val="lowerRoman"/>
      <w:lvlText w:val="%3."/>
      <w:lvlJc w:val="right"/>
      <w:pPr>
        <w:ind w:left="1800" w:hanging="180"/>
      </w:pPr>
    </w:lvl>
    <w:lvl w:ilvl="3" w:tplc="82487F64" w:tentative="1">
      <w:start w:val="1"/>
      <w:numFmt w:val="decimal"/>
      <w:lvlText w:val="%4."/>
      <w:lvlJc w:val="left"/>
      <w:pPr>
        <w:ind w:left="2520" w:hanging="360"/>
      </w:pPr>
    </w:lvl>
    <w:lvl w:ilvl="4" w:tplc="8592D72A" w:tentative="1">
      <w:start w:val="1"/>
      <w:numFmt w:val="lowerLetter"/>
      <w:lvlText w:val="%5."/>
      <w:lvlJc w:val="left"/>
      <w:pPr>
        <w:ind w:left="3240" w:hanging="360"/>
      </w:pPr>
    </w:lvl>
    <w:lvl w:ilvl="5" w:tplc="08502026" w:tentative="1">
      <w:start w:val="1"/>
      <w:numFmt w:val="lowerRoman"/>
      <w:lvlText w:val="%6."/>
      <w:lvlJc w:val="right"/>
      <w:pPr>
        <w:ind w:left="3960" w:hanging="180"/>
      </w:pPr>
    </w:lvl>
    <w:lvl w:ilvl="6" w:tplc="A0AED272" w:tentative="1">
      <w:start w:val="1"/>
      <w:numFmt w:val="decimal"/>
      <w:lvlText w:val="%7."/>
      <w:lvlJc w:val="left"/>
      <w:pPr>
        <w:ind w:left="4680" w:hanging="360"/>
      </w:pPr>
    </w:lvl>
    <w:lvl w:ilvl="7" w:tplc="F4C4861A" w:tentative="1">
      <w:start w:val="1"/>
      <w:numFmt w:val="lowerLetter"/>
      <w:lvlText w:val="%8."/>
      <w:lvlJc w:val="left"/>
      <w:pPr>
        <w:ind w:left="5400" w:hanging="360"/>
      </w:pPr>
    </w:lvl>
    <w:lvl w:ilvl="8" w:tplc="36E42E72" w:tentative="1">
      <w:start w:val="1"/>
      <w:numFmt w:val="lowerRoman"/>
      <w:lvlText w:val="%9."/>
      <w:lvlJc w:val="right"/>
      <w:pPr>
        <w:ind w:left="6120" w:hanging="180"/>
      </w:pPr>
    </w:lvl>
  </w:abstractNum>
  <w:abstractNum w:abstractNumId="4" w15:restartNumberingAfterBreak="0">
    <w:nsid w:val="5D292B29"/>
    <w:multiLevelType w:val="hybridMultilevel"/>
    <w:tmpl w:val="090A2B72"/>
    <w:lvl w:ilvl="0" w:tplc="2262748A">
      <w:start w:val="1"/>
      <w:numFmt w:val="decimal"/>
      <w:lvlText w:val="%1"/>
      <w:lvlJc w:val="left"/>
      <w:pPr>
        <w:tabs>
          <w:tab w:val="num" w:pos="851"/>
        </w:tabs>
        <w:ind w:left="851" w:hanging="851"/>
      </w:pPr>
      <w:rPr>
        <w:rFonts w:hint="default"/>
        <w:b w:val="0"/>
        <w:i w:val="0"/>
      </w:rPr>
    </w:lvl>
    <w:lvl w:ilvl="1" w:tplc="5BBCB0EC">
      <w:start w:val="1"/>
      <w:numFmt w:val="lowerLetter"/>
      <w:lvlText w:val="%2."/>
      <w:lvlJc w:val="left"/>
      <w:pPr>
        <w:tabs>
          <w:tab w:val="num" w:pos="1440"/>
        </w:tabs>
        <w:ind w:left="1440" w:hanging="360"/>
      </w:pPr>
      <w:rPr>
        <w:rFonts w:hint="default"/>
        <w:b w:val="0"/>
      </w:rPr>
    </w:lvl>
    <w:lvl w:ilvl="2" w:tplc="ED009662" w:tentative="1">
      <w:start w:val="1"/>
      <w:numFmt w:val="lowerRoman"/>
      <w:lvlText w:val="%3."/>
      <w:lvlJc w:val="right"/>
      <w:pPr>
        <w:tabs>
          <w:tab w:val="num" w:pos="2160"/>
        </w:tabs>
        <w:ind w:left="2160" w:hanging="180"/>
      </w:pPr>
    </w:lvl>
    <w:lvl w:ilvl="3" w:tplc="9E1C0D06" w:tentative="1">
      <w:start w:val="1"/>
      <w:numFmt w:val="decimal"/>
      <w:lvlText w:val="%4."/>
      <w:lvlJc w:val="left"/>
      <w:pPr>
        <w:tabs>
          <w:tab w:val="num" w:pos="2880"/>
        </w:tabs>
        <w:ind w:left="2880" w:hanging="360"/>
      </w:pPr>
    </w:lvl>
    <w:lvl w:ilvl="4" w:tplc="07EEB0EA" w:tentative="1">
      <w:start w:val="1"/>
      <w:numFmt w:val="lowerLetter"/>
      <w:lvlText w:val="%5."/>
      <w:lvlJc w:val="left"/>
      <w:pPr>
        <w:tabs>
          <w:tab w:val="num" w:pos="3600"/>
        </w:tabs>
        <w:ind w:left="3600" w:hanging="360"/>
      </w:pPr>
    </w:lvl>
    <w:lvl w:ilvl="5" w:tplc="9140DE0C" w:tentative="1">
      <w:start w:val="1"/>
      <w:numFmt w:val="lowerRoman"/>
      <w:lvlText w:val="%6."/>
      <w:lvlJc w:val="right"/>
      <w:pPr>
        <w:tabs>
          <w:tab w:val="num" w:pos="4320"/>
        </w:tabs>
        <w:ind w:left="4320" w:hanging="180"/>
      </w:pPr>
    </w:lvl>
    <w:lvl w:ilvl="6" w:tplc="0EF676A0" w:tentative="1">
      <w:start w:val="1"/>
      <w:numFmt w:val="decimal"/>
      <w:lvlText w:val="%7."/>
      <w:lvlJc w:val="left"/>
      <w:pPr>
        <w:tabs>
          <w:tab w:val="num" w:pos="5040"/>
        </w:tabs>
        <w:ind w:left="5040" w:hanging="360"/>
      </w:pPr>
    </w:lvl>
    <w:lvl w:ilvl="7" w:tplc="603AF44E" w:tentative="1">
      <w:start w:val="1"/>
      <w:numFmt w:val="lowerLetter"/>
      <w:lvlText w:val="%8."/>
      <w:lvlJc w:val="left"/>
      <w:pPr>
        <w:tabs>
          <w:tab w:val="num" w:pos="5760"/>
        </w:tabs>
        <w:ind w:left="5760" w:hanging="360"/>
      </w:pPr>
    </w:lvl>
    <w:lvl w:ilvl="8" w:tplc="1E2A9E30" w:tentative="1">
      <w:start w:val="1"/>
      <w:numFmt w:val="lowerRoman"/>
      <w:lvlText w:val="%9."/>
      <w:lvlJc w:val="right"/>
      <w:pPr>
        <w:tabs>
          <w:tab w:val="num" w:pos="6480"/>
        </w:tabs>
        <w:ind w:left="6480" w:hanging="180"/>
      </w:pPr>
    </w:lvl>
  </w:abstractNum>
  <w:abstractNum w:abstractNumId="5" w15:restartNumberingAfterBreak="0">
    <w:nsid w:val="79D955BE"/>
    <w:multiLevelType w:val="hybridMultilevel"/>
    <w:tmpl w:val="33F82C50"/>
    <w:lvl w:ilvl="0" w:tplc="BCDE2D20">
      <w:start w:val="16"/>
      <w:numFmt w:val="decimal"/>
      <w:lvlText w:val="%1"/>
      <w:lvlJc w:val="left"/>
      <w:pPr>
        <w:tabs>
          <w:tab w:val="num" w:pos="851"/>
        </w:tabs>
        <w:ind w:left="851" w:hanging="851"/>
      </w:pPr>
      <w:rPr>
        <w:rFonts w:hint="default"/>
        <w:b w:val="0"/>
        <w:i w:val="0"/>
      </w:rPr>
    </w:lvl>
    <w:lvl w:ilvl="1" w:tplc="9104B22C" w:tentative="1">
      <w:start w:val="1"/>
      <w:numFmt w:val="lowerLetter"/>
      <w:lvlText w:val="%2."/>
      <w:lvlJc w:val="left"/>
      <w:pPr>
        <w:ind w:left="1440" w:hanging="360"/>
      </w:pPr>
    </w:lvl>
    <w:lvl w:ilvl="2" w:tplc="B88A1500" w:tentative="1">
      <w:start w:val="1"/>
      <w:numFmt w:val="lowerRoman"/>
      <w:lvlText w:val="%3."/>
      <w:lvlJc w:val="right"/>
      <w:pPr>
        <w:ind w:left="2160" w:hanging="180"/>
      </w:pPr>
    </w:lvl>
    <w:lvl w:ilvl="3" w:tplc="EC8C695C" w:tentative="1">
      <w:start w:val="1"/>
      <w:numFmt w:val="decimal"/>
      <w:lvlText w:val="%4."/>
      <w:lvlJc w:val="left"/>
      <w:pPr>
        <w:ind w:left="2880" w:hanging="360"/>
      </w:pPr>
    </w:lvl>
    <w:lvl w:ilvl="4" w:tplc="645EF8BC" w:tentative="1">
      <w:start w:val="1"/>
      <w:numFmt w:val="lowerLetter"/>
      <w:lvlText w:val="%5."/>
      <w:lvlJc w:val="left"/>
      <w:pPr>
        <w:ind w:left="3600" w:hanging="360"/>
      </w:pPr>
    </w:lvl>
    <w:lvl w:ilvl="5" w:tplc="DD405AB6" w:tentative="1">
      <w:start w:val="1"/>
      <w:numFmt w:val="lowerRoman"/>
      <w:lvlText w:val="%6."/>
      <w:lvlJc w:val="right"/>
      <w:pPr>
        <w:ind w:left="4320" w:hanging="180"/>
      </w:pPr>
    </w:lvl>
    <w:lvl w:ilvl="6" w:tplc="9274D40C" w:tentative="1">
      <w:start w:val="1"/>
      <w:numFmt w:val="decimal"/>
      <w:lvlText w:val="%7."/>
      <w:lvlJc w:val="left"/>
      <w:pPr>
        <w:ind w:left="5040" w:hanging="360"/>
      </w:pPr>
    </w:lvl>
    <w:lvl w:ilvl="7" w:tplc="643E2D76" w:tentative="1">
      <w:start w:val="1"/>
      <w:numFmt w:val="lowerLetter"/>
      <w:lvlText w:val="%8."/>
      <w:lvlJc w:val="left"/>
      <w:pPr>
        <w:ind w:left="5760" w:hanging="360"/>
      </w:pPr>
    </w:lvl>
    <w:lvl w:ilvl="8" w:tplc="78C8F67A"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5A"/>
    <w:rsid w:val="00001A40"/>
    <w:rsid w:val="0000364F"/>
    <w:rsid w:val="0000428E"/>
    <w:rsid w:val="000109A3"/>
    <w:rsid w:val="000240E5"/>
    <w:rsid w:val="000275CB"/>
    <w:rsid w:val="00031BE1"/>
    <w:rsid w:val="00047041"/>
    <w:rsid w:val="00064137"/>
    <w:rsid w:val="00066E03"/>
    <w:rsid w:val="000809FC"/>
    <w:rsid w:val="00087E37"/>
    <w:rsid w:val="000A29A0"/>
    <w:rsid w:val="000B2F4E"/>
    <w:rsid w:val="000B3735"/>
    <w:rsid w:val="000B7A3E"/>
    <w:rsid w:val="000C20B3"/>
    <w:rsid w:val="000D637B"/>
    <w:rsid w:val="000D7B54"/>
    <w:rsid w:val="000E05A0"/>
    <w:rsid w:val="000E08CB"/>
    <w:rsid w:val="000E32DD"/>
    <w:rsid w:val="000E6518"/>
    <w:rsid w:val="00120148"/>
    <w:rsid w:val="00122C5F"/>
    <w:rsid w:val="00123AC4"/>
    <w:rsid w:val="00131619"/>
    <w:rsid w:val="0013792F"/>
    <w:rsid w:val="00156EAC"/>
    <w:rsid w:val="0016211D"/>
    <w:rsid w:val="0017366F"/>
    <w:rsid w:val="00173E05"/>
    <w:rsid w:val="001847A9"/>
    <w:rsid w:val="00191BC7"/>
    <w:rsid w:val="001A472F"/>
    <w:rsid w:val="001A5A22"/>
    <w:rsid w:val="001C7A5B"/>
    <w:rsid w:val="001E1BB0"/>
    <w:rsid w:val="001F208F"/>
    <w:rsid w:val="002042CB"/>
    <w:rsid w:val="0021199A"/>
    <w:rsid w:val="00237126"/>
    <w:rsid w:val="00253CCA"/>
    <w:rsid w:val="0028293D"/>
    <w:rsid w:val="00284C33"/>
    <w:rsid w:val="002879DC"/>
    <w:rsid w:val="002954B5"/>
    <w:rsid w:val="00295871"/>
    <w:rsid w:val="002976B2"/>
    <w:rsid w:val="002B533F"/>
    <w:rsid w:val="002C3CC2"/>
    <w:rsid w:val="002D6605"/>
    <w:rsid w:val="002D7681"/>
    <w:rsid w:val="002F78F5"/>
    <w:rsid w:val="003137E9"/>
    <w:rsid w:val="0033622B"/>
    <w:rsid w:val="00360746"/>
    <w:rsid w:val="003827B4"/>
    <w:rsid w:val="003A6FBD"/>
    <w:rsid w:val="003B1649"/>
    <w:rsid w:val="003B3840"/>
    <w:rsid w:val="003D3223"/>
    <w:rsid w:val="003D32F3"/>
    <w:rsid w:val="003E42DC"/>
    <w:rsid w:val="004113C5"/>
    <w:rsid w:val="00417E15"/>
    <w:rsid w:val="00424973"/>
    <w:rsid w:val="00433871"/>
    <w:rsid w:val="004379E9"/>
    <w:rsid w:val="0045230A"/>
    <w:rsid w:val="00453468"/>
    <w:rsid w:val="00471847"/>
    <w:rsid w:val="004832E1"/>
    <w:rsid w:val="0049390F"/>
    <w:rsid w:val="004967FD"/>
    <w:rsid w:val="004A427D"/>
    <w:rsid w:val="004A672E"/>
    <w:rsid w:val="004C6A26"/>
    <w:rsid w:val="004D475D"/>
    <w:rsid w:val="004D4CD4"/>
    <w:rsid w:val="004D526B"/>
    <w:rsid w:val="004F3F15"/>
    <w:rsid w:val="004F5C64"/>
    <w:rsid w:val="00503761"/>
    <w:rsid w:val="00504B6A"/>
    <w:rsid w:val="005137BE"/>
    <w:rsid w:val="00531FA6"/>
    <w:rsid w:val="00550FF7"/>
    <w:rsid w:val="00553524"/>
    <w:rsid w:val="005575F8"/>
    <w:rsid w:val="005737CE"/>
    <w:rsid w:val="00575413"/>
    <w:rsid w:val="00585BB7"/>
    <w:rsid w:val="005A0A79"/>
    <w:rsid w:val="005B0DB2"/>
    <w:rsid w:val="005B368A"/>
    <w:rsid w:val="005D1D18"/>
    <w:rsid w:val="005D5DE4"/>
    <w:rsid w:val="005E0B6C"/>
    <w:rsid w:val="005E6838"/>
    <w:rsid w:val="006009E6"/>
    <w:rsid w:val="00600A71"/>
    <w:rsid w:val="0060174C"/>
    <w:rsid w:val="006066D5"/>
    <w:rsid w:val="00620E65"/>
    <w:rsid w:val="006328A6"/>
    <w:rsid w:val="00641D28"/>
    <w:rsid w:val="00645202"/>
    <w:rsid w:val="006543A6"/>
    <w:rsid w:val="00660881"/>
    <w:rsid w:val="006731A3"/>
    <w:rsid w:val="00673468"/>
    <w:rsid w:val="00680EB1"/>
    <w:rsid w:val="00691672"/>
    <w:rsid w:val="006964A4"/>
    <w:rsid w:val="006A5077"/>
    <w:rsid w:val="006B5B57"/>
    <w:rsid w:val="006E1546"/>
    <w:rsid w:val="006E3E7F"/>
    <w:rsid w:val="006E4A55"/>
    <w:rsid w:val="007049D2"/>
    <w:rsid w:val="00704BAC"/>
    <w:rsid w:val="0071052E"/>
    <w:rsid w:val="0071262A"/>
    <w:rsid w:val="007255AF"/>
    <w:rsid w:val="00727669"/>
    <w:rsid w:val="00741E39"/>
    <w:rsid w:val="007473F2"/>
    <w:rsid w:val="0075144A"/>
    <w:rsid w:val="00751866"/>
    <w:rsid w:val="00751A24"/>
    <w:rsid w:val="00762707"/>
    <w:rsid w:val="00762CE8"/>
    <w:rsid w:val="00763204"/>
    <w:rsid w:val="00767298"/>
    <w:rsid w:val="007878D2"/>
    <w:rsid w:val="007A0C0E"/>
    <w:rsid w:val="007A4998"/>
    <w:rsid w:val="007B60C3"/>
    <w:rsid w:val="007D63D3"/>
    <w:rsid w:val="007F4524"/>
    <w:rsid w:val="007F607D"/>
    <w:rsid w:val="00803DF4"/>
    <w:rsid w:val="0082030F"/>
    <w:rsid w:val="00827481"/>
    <w:rsid w:val="008306AC"/>
    <w:rsid w:val="00854181"/>
    <w:rsid w:val="008642C9"/>
    <w:rsid w:val="0087392B"/>
    <w:rsid w:val="00884B9C"/>
    <w:rsid w:val="00891DF4"/>
    <w:rsid w:val="008951E3"/>
    <w:rsid w:val="00896800"/>
    <w:rsid w:val="008A7E56"/>
    <w:rsid w:val="008C1927"/>
    <w:rsid w:val="008D0A8C"/>
    <w:rsid w:val="008D1D83"/>
    <w:rsid w:val="008D7D51"/>
    <w:rsid w:val="0091418F"/>
    <w:rsid w:val="0092098C"/>
    <w:rsid w:val="009252BE"/>
    <w:rsid w:val="009316EE"/>
    <w:rsid w:val="00935049"/>
    <w:rsid w:val="00937F6A"/>
    <w:rsid w:val="00951C3A"/>
    <w:rsid w:val="009550BF"/>
    <w:rsid w:val="00956AB8"/>
    <w:rsid w:val="00964675"/>
    <w:rsid w:val="00967A6E"/>
    <w:rsid w:val="009843A9"/>
    <w:rsid w:val="0098480A"/>
    <w:rsid w:val="00995292"/>
    <w:rsid w:val="009A1BDF"/>
    <w:rsid w:val="009D3FF8"/>
    <w:rsid w:val="009F14BA"/>
    <w:rsid w:val="009F3716"/>
    <w:rsid w:val="00A0216C"/>
    <w:rsid w:val="00A05757"/>
    <w:rsid w:val="00A17C95"/>
    <w:rsid w:val="00A236DA"/>
    <w:rsid w:val="00A31A30"/>
    <w:rsid w:val="00A32F7F"/>
    <w:rsid w:val="00A44F7A"/>
    <w:rsid w:val="00A5342D"/>
    <w:rsid w:val="00A57D81"/>
    <w:rsid w:val="00A6055A"/>
    <w:rsid w:val="00A75B11"/>
    <w:rsid w:val="00A9726D"/>
    <w:rsid w:val="00AA2E81"/>
    <w:rsid w:val="00AB7A45"/>
    <w:rsid w:val="00AD0D14"/>
    <w:rsid w:val="00AE13D8"/>
    <w:rsid w:val="00AE7F9F"/>
    <w:rsid w:val="00AF7230"/>
    <w:rsid w:val="00B12C72"/>
    <w:rsid w:val="00B25BB5"/>
    <w:rsid w:val="00B32335"/>
    <w:rsid w:val="00B332DD"/>
    <w:rsid w:val="00B50A47"/>
    <w:rsid w:val="00B51A70"/>
    <w:rsid w:val="00B55EBC"/>
    <w:rsid w:val="00B70D2E"/>
    <w:rsid w:val="00B75682"/>
    <w:rsid w:val="00B82543"/>
    <w:rsid w:val="00B829A2"/>
    <w:rsid w:val="00BA51C4"/>
    <w:rsid w:val="00BA7D70"/>
    <w:rsid w:val="00BB750F"/>
    <w:rsid w:val="00BC49D9"/>
    <w:rsid w:val="00BD2CA9"/>
    <w:rsid w:val="00BD3562"/>
    <w:rsid w:val="00BF6ED1"/>
    <w:rsid w:val="00BF7691"/>
    <w:rsid w:val="00C02EBB"/>
    <w:rsid w:val="00C05901"/>
    <w:rsid w:val="00C10DD2"/>
    <w:rsid w:val="00C17FB8"/>
    <w:rsid w:val="00C20C24"/>
    <w:rsid w:val="00C2730C"/>
    <w:rsid w:val="00C52670"/>
    <w:rsid w:val="00C57A3A"/>
    <w:rsid w:val="00C71BA2"/>
    <w:rsid w:val="00C903C1"/>
    <w:rsid w:val="00C9500E"/>
    <w:rsid w:val="00CB15A9"/>
    <w:rsid w:val="00CB6003"/>
    <w:rsid w:val="00CC6CB4"/>
    <w:rsid w:val="00CD4EA8"/>
    <w:rsid w:val="00D0135D"/>
    <w:rsid w:val="00D05029"/>
    <w:rsid w:val="00D05AC4"/>
    <w:rsid w:val="00D27863"/>
    <w:rsid w:val="00D37269"/>
    <w:rsid w:val="00D40D5A"/>
    <w:rsid w:val="00D425F3"/>
    <w:rsid w:val="00D561A5"/>
    <w:rsid w:val="00D627C3"/>
    <w:rsid w:val="00D630FC"/>
    <w:rsid w:val="00D763C1"/>
    <w:rsid w:val="00D7661F"/>
    <w:rsid w:val="00D83B7C"/>
    <w:rsid w:val="00D87210"/>
    <w:rsid w:val="00D87CFC"/>
    <w:rsid w:val="00DA1DC5"/>
    <w:rsid w:val="00DA4F65"/>
    <w:rsid w:val="00DA6CA5"/>
    <w:rsid w:val="00DB10CA"/>
    <w:rsid w:val="00DB3FAE"/>
    <w:rsid w:val="00DC3390"/>
    <w:rsid w:val="00DC4621"/>
    <w:rsid w:val="00DC6724"/>
    <w:rsid w:val="00DC702A"/>
    <w:rsid w:val="00DE374C"/>
    <w:rsid w:val="00DE6270"/>
    <w:rsid w:val="00E01578"/>
    <w:rsid w:val="00E0665B"/>
    <w:rsid w:val="00E17146"/>
    <w:rsid w:val="00E171DD"/>
    <w:rsid w:val="00E235C8"/>
    <w:rsid w:val="00E4198B"/>
    <w:rsid w:val="00E44E0F"/>
    <w:rsid w:val="00E4610E"/>
    <w:rsid w:val="00E72F2E"/>
    <w:rsid w:val="00E771D7"/>
    <w:rsid w:val="00E86AB7"/>
    <w:rsid w:val="00EB74A7"/>
    <w:rsid w:val="00EF48D8"/>
    <w:rsid w:val="00F0229B"/>
    <w:rsid w:val="00F179A8"/>
    <w:rsid w:val="00F22E78"/>
    <w:rsid w:val="00F36486"/>
    <w:rsid w:val="00F44500"/>
    <w:rsid w:val="00F535BB"/>
    <w:rsid w:val="00F63073"/>
    <w:rsid w:val="00F64183"/>
    <w:rsid w:val="00F85364"/>
    <w:rsid w:val="00FA0DFB"/>
    <w:rsid w:val="00FB6A44"/>
    <w:rsid w:val="00FE73FA"/>
    <w:rsid w:val="00FF6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127B5"/>
  <w15:docId w15:val="{543D3889-D073-437D-8A56-539BC73B1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42D"/>
    <w:pPr>
      <w:jc w:val="both"/>
    </w:pPr>
    <w:rPr>
      <w:rFonts w:eastAsia="Times New Roman"/>
      <w:sz w:val="22"/>
      <w:lang w:val="en-NZ" w:eastAsia="en-US"/>
    </w:rPr>
  </w:style>
  <w:style w:type="paragraph" w:styleId="Heading5">
    <w:name w:val="heading 5"/>
    <w:basedOn w:val="Normal"/>
    <w:next w:val="Normal"/>
    <w:link w:val="Heading5Char"/>
    <w:uiPriority w:val="9"/>
    <w:semiHidden/>
    <w:unhideWhenUsed/>
    <w:qFormat/>
    <w:rsid w:val="00031BE1"/>
    <w:pPr>
      <w:spacing w:before="240" w:after="60"/>
      <w:jc w:val="left"/>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7E37"/>
  </w:style>
  <w:style w:type="character" w:customStyle="1" w:styleId="HeaderChar">
    <w:name w:val="Header Char"/>
    <w:basedOn w:val="DefaultParagraphFont"/>
    <w:link w:val="Header"/>
    <w:uiPriority w:val="99"/>
    <w:rsid w:val="00087E37"/>
    <w:rPr>
      <w:rFonts w:ascii="Arial RMcV" w:eastAsia="Times New Roman" w:hAnsi="Arial RMcV" w:cs="Times New Roman"/>
      <w:sz w:val="21"/>
      <w:szCs w:val="20"/>
    </w:rPr>
  </w:style>
  <w:style w:type="paragraph" w:styleId="Footer">
    <w:name w:val="footer"/>
    <w:basedOn w:val="Normal"/>
    <w:link w:val="FooterChar"/>
    <w:rsid w:val="00087E37"/>
  </w:style>
  <w:style w:type="character" w:customStyle="1" w:styleId="FooterChar">
    <w:name w:val="Footer Char"/>
    <w:basedOn w:val="DefaultParagraphFont"/>
    <w:link w:val="Footer"/>
    <w:rsid w:val="00087E37"/>
    <w:rPr>
      <w:rFonts w:ascii="Arial RMcV" w:eastAsia="Times New Roman" w:hAnsi="Arial RMcV" w:cs="Times New Roman"/>
      <w:sz w:val="21"/>
      <w:szCs w:val="20"/>
    </w:rPr>
  </w:style>
  <w:style w:type="character" w:styleId="PageNumber">
    <w:name w:val="page number"/>
    <w:basedOn w:val="DefaultParagraphFont"/>
    <w:rsid w:val="00087E37"/>
  </w:style>
  <w:style w:type="paragraph" w:styleId="ListParagraph">
    <w:name w:val="List Paragraph"/>
    <w:basedOn w:val="Normal"/>
    <w:uiPriority w:val="34"/>
    <w:qFormat/>
    <w:rsid w:val="00087E37"/>
    <w:pPr>
      <w:ind w:left="720"/>
    </w:pPr>
  </w:style>
  <w:style w:type="paragraph" w:styleId="FootnoteText">
    <w:name w:val="footnote text"/>
    <w:basedOn w:val="Normal"/>
    <w:link w:val="FootnoteTextChar"/>
    <w:uiPriority w:val="99"/>
    <w:qFormat/>
    <w:rsid w:val="00087E37"/>
    <w:rPr>
      <w:sz w:val="20"/>
    </w:rPr>
  </w:style>
  <w:style w:type="character" w:customStyle="1" w:styleId="FootnoteTextChar">
    <w:name w:val="Footnote Text Char"/>
    <w:basedOn w:val="DefaultParagraphFont"/>
    <w:link w:val="FootnoteText"/>
    <w:uiPriority w:val="99"/>
    <w:rsid w:val="00087E37"/>
    <w:rPr>
      <w:rFonts w:ascii="Arial RMcV" w:eastAsia="Times New Roman" w:hAnsi="Arial RMcV" w:cs="Times New Roman"/>
      <w:sz w:val="20"/>
      <w:szCs w:val="20"/>
    </w:rPr>
  </w:style>
  <w:style w:type="character" w:styleId="FootnoteReference">
    <w:name w:val="footnote reference"/>
    <w:aliases w:val="Footnotes refss,Footnote number,Footnote"/>
    <w:basedOn w:val="DefaultParagraphFont"/>
    <w:uiPriority w:val="99"/>
    <w:qFormat/>
    <w:rsid w:val="00087E37"/>
    <w:rPr>
      <w:vertAlign w:val="superscript"/>
    </w:rPr>
  </w:style>
  <w:style w:type="paragraph" w:customStyle="1" w:styleId="Default">
    <w:name w:val="Default"/>
    <w:rsid w:val="00087E37"/>
    <w:pPr>
      <w:autoSpaceDE w:val="0"/>
      <w:autoSpaceDN w:val="0"/>
      <w:adjustRightInd w:val="0"/>
    </w:pPr>
    <w:rPr>
      <w:rFonts w:ascii="Times New Roman" w:eastAsia="Times New Roman" w:hAnsi="Times New Roman"/>
      <w:color w:val="000000"/>
      <w:sz w:val="24"/>
      <w:szCs w:val="24"/>
      <w:lang w:val="en-NZ" w:eastAsia="en-NZ"/>
    </w:rPr>
  </w:style>
  <w:style w:type="character" w:styleId="Hyperlink">
    <w:name w:val="Hyperlink"/>
    <w:basedOn w:val="DefaultParagraphFont"/>
    <w:rsid w:val="00087E37"/>
    <w:rPr>
      <w:color w:val="0000FF"/>
      <w:u w:val="single"/>
    </w:rPr>
  </w:style>
  <w:style w:type="character" w:customStyle="1" w:styleId="Heading5Char">
    <w:name w:val="Heading 5 Char"/>
    <w:basedOn w:val="DefaultParagraphFont"/>
    <w:link w:val="Heading5"/>
    <w:uiPriority w:val="9"/>
    <w:semiHidden/>
    <w:rsid w:val="00031BE1"/>
    <w:rPr>
      <w:rFonts w:eastAsia="Times New Roman"/>
      <w:b/>
      <w:bCs/>
      <w:i/>
      <w:iCs/>
      <w:sz w:val="26"/>
      <w:szCs w:val="26"/>
    </w:rPr>
  </w:style>
  <w:style w:type="paragraph" w:customStyle="1" w:styleId="labelled">
    <w:name w:val="labelled"/>
    <w:basedOn w:val="Normal"/>
    <w:rsid w:val="00031BE1"/>
    <w:pPr>
      <w:jc w:val="left"/>
    </w:pPr>
    <w:rPr>
      <w:rFonts w:ascii="Times New Roman" w:hAnsi="Times New Roman"/>
      <w:sz w:val="24"/>
      <w:szCs w:val="24"/>
      <w:lang w:eastAsia="en-NZ"/>
    </w:rPr>
  </w:style>
  <w:style w:type="character" w:customStyle="1" w:styleId="spc">
    <w:name w:val="spc"/>
    <w:basedOn w:val="DefaultParagraphFont"/>
    <w:rsid w:val="00031BE1"/>
    <w:rPr>
      <w:rFonts w:cs="Times New Roman"/>
      <w:u w:val="none"/>
      <w:effect w:val="none"/>
    </w:rPr>
  </w:style>
  <w:style w:type="character" w:customStyle="1" w:styleId="label">
    <w:name w:val="label"/>
    <w:basedOn w:val="DefaultParagraphFont"/>
    <w:rsid w:val="00031BE1"/>
    <w:rPr>
      <w:rFonts w:cs="Times New Roman"/>
    </w:rPr>
  </w:style>
  <w:style w:type="paragraph" w:styleId="BalloonText">
    <w:name w:val="Balloon Text"/>
    <w:basedOn w:val="Normal"/>
    <w:link w:val="BalloonTextChar"/>
    <w:uiPriority w:val="99"/>
    <w:semiHidden/>
    <w:unhideWhenUsed/>
    <w:rsid w:val="00BB750F"/>
    <w:rPr>
      <w:rFonts w:ascii="Tahoma" w:hAnsi="Tahoma" w:cs="Tahoma"/>
      <w:sz w:val="16"/>
      <w:szCs w:val="16"/>
    </w:rPr>
  </w:style>
  <w:style w:type="character" w:customStyle="1" w:styleId="BalloonTextChar">
    <w:name w:val="Balloon Text Char"/>
    <w:basedOn w:val="DefaultParagraphFont"/>
    <w:link w:val="BalloonText"/>
    <w:uiPriority w:val="99"/>
    <w:semiHidden/>
    <w:rsid w:val="00BB750F"/>
    <w:rPr>
      <w:rFonts w:ascii="Tahoma" w:eastAsia="Times New Roman" w:hAnsi="Tahoma" w:cs="Tahoma"/>
      <w:sz w:val="16"/>
      <w:szCs w:val="16"/>
    </w:rPr>
  </w:style>
  <w:style w:type="paragraph" w:customStyle="1" w:styleId="Normal0">
    <w:name w:val="Normal_0"/>
    <w:qFormat/>
    <w:rsid w:val="00F44500"/>
    <w:pPr>
      <w:jc w:val="both"/>
    </w:pPr>
    <w:rPr>
      <w:rFonts w:eastAsia="Times New Roman"/>
      <w:sz w:val="22"/>
      <w:lang w:val="en-NZ" w:eastAsia="en-US"/>
    </w:rPr>
  </w:style>
  <w:style w:type="character" w:styleId="CommentReference">
    <w:name w:val="annotation reference"/>
    <w:basedOn w:val="DefaultParagraphFont"/>
    <w:uiPriority w:val="99"/>
    <w:semiHidden/>
    <w:unhideWhenUsed/>
    <w:rsid w:val="00C02EBB"/>
    <w:rPr>
      <w:sz w:val="16"/>
      <w:szCs w:val="16"/>
    </w:rPr>
  </w:style>
  <w:style w:type="paragraph" w:styleId="CommentText">
    <w:name w:val="annotation text"/>
    <w:basedOn w:val="Normal"/>
    <w:link w:val="CommentTextChar"/>
    <w:uiPriority w:val="99"/>
    <w:semiHidden/>
    <w:unhideWhenUsed/>
    <w:rsid w:val="00C02EBB"/>
    <w:rPr>
      <w:sz w:val="20"/>
    </w:rPr>
  </w:style>
  <w:style w:type="character" w:customStyle="1" w:styleId="CommentTextChar">
    <w:name w:val="Comment Text Char"/>
    <w:basedOn w:val="DefaultParagraphFont"/>
    <w:link w:val="CommentText"/>
    <w:uiPriority w:val="99"/>
    <w:semiHidden/>
    <w:rsid w:val="00C02EBB"/>
    <w:rPr>
      <w:rFonts w:eastAsia="Times New Roman"/>
      <w:lang w:val="en-NZ" w:eastAsia="en-US"/>
    </w:rPr>
  </w:style>
  <w:style w:type="paragraph" w:styleId="CommentSubject">
    <w:name w:val="annotation subject"/>
    <w:basedOn w:val="CommentText"/>
    <w:next w:val="CommentText"/>
    <w:link w:val="CommentSubjectChar"/>
    <w:uiPriority w:val="99"/>
    <w:semiHidden/>
    <w:unhideWhenUsed/>
    <w:rsid w:val="009A1BDF"/>
    <w:rPr>
      <w:b/>
      <w:bCs/>
    </w:rPr>
  </w:style>
  <w:style w:type="character" w:customStyle="1" w:styleId="CommentSubjectChar">
    <w:name w:val="Comment Subject Char"/>
    <w:basedOn w:val="CommentTextChar"/>
    <w:link w:val="CommentSubject"/>
    <w:uiPriority w:val="99"/>
    <w:semiHidden/>
    <w:rsid w:val="009A1BDF"/>
    <w:rPr>
      <w:rFonts w:eastAsia="Times New Roman"/>
      <w:b/>
      <w:bCs/>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claS\AppData\Local\Temp\345\~dg9YVBYK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ED1B48-0CB0-441F-9003-DDBD1468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~dg9YVBYK4</Template>
  <TotalTime>451</TotalTime>
  <Pages>9</Pages>
  <Words>1293</Words>
  <Characters>10594</Characters>
  <Application>Microsoft Office Word</Application>
  <DocSecurity>0</DocSecurity>
  <Lines>1177</Lines>
  <Paragraphs>540</Paragraphs>
  <ScaleCrop>false</ScaleCrop>
  <HeadingPairs>
    <vt:vector size="2" baseType="variant">
      <vt:variant>
        <vt:lpstr>Title</vt:lpstr>
      </vt:variant>
      <vt:variant>
        <vt:i4>1</vt:i4>
      </vt:variant>
    </vt:vector>
  </HeadingPairs>
  <TitlesOfParts>
    <vt:vector size="1" baseType="lpstr">
      <vt:lpstr/>
    </vt:vector>
  </TitlesOfParts>
  <Company>Ministry of Justice</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Barclay, Sophie</dc:creator>
  <cp:lastModifiedBy>Barclay, Sophie</cp:lastModifiedBy>
  <cp:revision>10</cp:revision>
  <cp:lastPrinted>2012-11-06T01:33:00Z</cp:lastPrinted>
  <dcterms:created xsi:type="dcterms:W3CDTF">2024-03-14T00:35:00Z</dcterms:created>
  <dcterms:modified xsi:type="dcterms:W3CDTF">2024-05-02T03:06:00Z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TY_DOCGEN">
    <vt:lpwstr>YES</vt:lpwstr>
  </property>
  <property fmtid="{D5CDD505-2E9C-101B-9397-08002B2CF9AE}" pid="3" name="AFTY_DOCGEN_INSERTDOCDELETEEMPTYPARA">
    <vt:lpwstr>YES</vt:lpwstr>
  </property>
  <property fmtid="{D5CDD505-2E9C-101B-9397-08002B2CF9AE}" pid="4" name="AFTY_DOCGEN_INSERTDOCMODE">
    <vt:lpwstr>3</vt:lpwstr>
  </property>
  <property fmtid="{D5CDD505-2E9C-101B-9397-08002B2CF9AE}" pid="5" name="CLIENTREPORTINGNAME">
    <vt:lpwstr>David Jeremiah Solt</vt:lpwstr>
  </property>
  <property fmtid="{D5CDD505-2E9C-101B-9397-08002B2CF9AE}" pid="6" name="Custom1">
    <vt:lpwstr>SOL1066</vt:lpwstr>
  </property>
  <property fmtid="{D5CDD505-2E9C-101B-9397-08002B2CF9AE}" pid="7" name="Custom2">
    <vt:lpwstr>SOL1066-01</vt:lpwstr>
  </property>
  <property fmtid="{D5CDD505-2E9C-101B-9397-08002B2CF9AE}" pid="8" name="DEF_DM_DESCRIPTION">
    <vt:lpwstr>Defendant's submissions in support of application for discharge without conviction</vt:lpwstr>
  </property>
  <property fmtid="{D5CDD505-2E9C-101B-9397-08002B2CF9AE}" pid="9" name="DEF_DM_TYPE">
    <vt:lpwstr>Submissions</vt:lpwstr>
  </property>
  <property fmtid="{D5CDD505-2E9C-101B-9397-08002B2CF9AE}" pid="10" name="DM_AFTYDOCID">
    <vt:i4>5284794</vt:i4>
  </property>
  <property fmtid="{D5CDD505-2E9C-101B-9397-08002B2CF9AE}" pid="11" name="DM_AUTHOR">
    <vt:lpwstr>SOB</vt:lpwstr>
  </property>
  <property fmtid="{D5CDD505-2E9C-101B-9397-08002B2CF9AE}" pid="12" name="DM_BILL_ID">
    <vt:i4>0</vt:i4>
  </property>
  <property fmtid="{D5CDD505-2E9C-101B-9397-08002B2CF9AE}" pid="13" name="DM_CATEGORY_ID">
    <vt:i4>48</vt:i4>
  </property>
  <property fmtid="{D5CDD505-2E9C-101B-9397-08002B2CF9AE}" pid="14" name="DM_CLIENT">
    <vt:lpwstr>SOL1066</vt:lpwstr>
  </property>
  <property fmtid="{D5CDD505-2E9C-101B-9397-08002B2CF9AE}" pid="15" name="DM_DESCRIPTION">
    <vt:lpwstr>Defendant's submissions in support of application for discharge without conviction</vt:lpwstr>
  </property>
  <property fmtid="{D5CDD505-2E9C-101B-9397-08002B2CF9AE}" pid="16" name="DM_MATTER">
    <vt:lpwstr>SOL1066-01</vt:lpwstr>
  </property>
  <property fmtid="{D5CDD505-2E9C-101B-9397-08002B2CF9AE}" pid="17" name="DM_OPERATOR">
    <vt:lpwstr>SOB</vt:lpwstr>
  </property>
  <property fmtid="{D5CDD505-2E9C-101B-9397-08002B2CF9AE}" pid="18" name="DM_PHONEBOOK">
    <vt:lpwstr>Solt, David</vt:lpwstr>
  </property>
  <property fmtid="{D5CDD505-2E9C-101B-9397-08002B2CF9AE}" pid="19" name="DM_PRECEDENT">
    <vt:lpwstr>Defendant's submissions in support of application for discharge without conviction - NEW.dotm</vt:lpwstr>
  </property>
  <property fmtid="{D5CDD505-2E9C-101B-9397-08002B2CF9AE}" pid="20" name="DM_TASKID">
    <vt:i4>0</vt:i4>
  </property>
  <property fmtid="{D5CDD505-2E9C-101B-9397-08002B2CF9AE}" pid="21" name="DM_VERSION">
    <vt:i4>1</vt:i4>
  </property>
  <property fmtid="{D5CDD505-2E9C-101B-9397-08002B2CF9AE}" pid="22" name="DM_YEAR">
    <vt:lpwstr>2024</vt:lpwstr>
  </property>
  <property fmtid="{D5CDD505-2E9C-101B-9397-08002B2CF9AE}" pid="23" name="LCLIENT">
    <vt:lpwstr>SOL1066</vt:lpwstr>
  </property>
  <property fmtid="{D5CDD505-2E9C-101B-9397-08002B2CF9AE}" pid="24" name="LDESC">
    <vt:lpwstr>Defendant's submissions in support of application for discharge without conviction</vt:lpwstr>
  </property>
  <property fmtid="{D5CDD505-2E9C-101B-9397-08002B2CF9AE}" pid="25" name="LMATTER">
    <vt:lpwstr>SOL1066-01</vt:lpwstr>
  </property>
  <property fmtid="{D5CDD505-2E9C-101B-9397-08002B2CF9AE}" pid="26" name="TASKID">
    <vt:i4>0</vt:i4>
  </property>
  <property fmtid="{D5CDD505-2E9C-101B-9397-08002B2CF9AE}" pid="27" name="WORDLINK_BUILD">
    <vt:lpwstr>34</vt:lpwstr>
  </property>
  <property fmtid="{D5CDD505-2E9C-101B-9397-08002B2CF9AE}" pid="28" name="WORDLINK_SCRIPTSESSIONID">
    <vt:lpwstr>109190178</vt:lpwstr>
  </property>
  <property fmtid="{D5CDD505-2E9C-101B-9397-08002B2CF9AE}" pid="29" name="WORDLINK_SESSIONNET">
    <vt:lpwstr>NO</vt:lpwstr>
  </property>
  <property fmtid="{D5CDD505-2E9C-101B-9397-08002B2CF9AE}" pid="30" name="WORDLINK_SESSIONSERVER">
    <vt:lpwstr>pd-exa-scan.justice.govt.nz:1521/AFFPRD</vt:lpwstr>
  </property>
  <property fmtid="{D5CDD505-2E9C-101B-9397-08002B2CF9AE}" pid="31" name="WORDLINK_SESSIONUSERNAME">
    <vt:lpwstr>pds_prod</vt:lpwstr>
  </property>
  <property fmtid="{D5CDD505-2E9C-101B-9397-08002B2CF9AE}" pid="32" name="WORDLINK_TEMPDOCUMENT">
    <vt:lpwstr>pds_prod</vt:lpwstr>
  </property>
  <property fmtid="{D5CDD505-2E9C-101B-9397-08002B2CF9AE}" pid="33" name="WORDLINK_VERSION">
    <vt:lpwstr>11.1.0</vt:lpwstr>
  </property>
  <property fmtid="{D5CDD505-2E9C-101B-9397-08002B2CF9AE}" pid="34" name="DM_INSERTFOOTER">
    <vt:i4>0</vt:i4>
  </property>
  <property fmtid="{D5CDD505-2E9C-101B-9397-08002B2CF9AE}" pid="35" name="DM_FOOTER1STPAGE">
    <vt:i4>0</vt:i4>
  </property>
  <property fmtid="{D5CDD505-2E9C-101B-9397-08002B2CF9AE}" pid="36" name="DM_DISPVERSIONINFOOTER">
    <vt:i4>0</vt:i4>
  </property>
  <property fmtid="{D5CDD505-2E9C-101B-9397-08002B2CF9AE}" pid="37" name="DM_PROMPTFORVERSION">
    <vt:i4>0</vt:i4>
  </property>
  <property fmtid="{D5CDD505-2E9C-101B-9397-08002B2CF9AE}" pid="38" name="DM_DISPFILENAMEINFOOTER">
    <vt:lpwstr>PSOL1066_SOL1066-01_015</vt:lpwstr>
  </property>
  <property fmtid="{D5CDD505-2E9C-101B-9397-08002B2CF9AE}" pid="39" name="_AdHocReviewCycleID">
    <vt:i4>1400532287</vt:i4>
  </property>
  <property fmtid="{D5CDD505-2E9C-101B-9397-08002B2CF9AE}" pid="40" name="_NewReviewCycle">
    <vt:lpwstr/>
  </property>
  <property fmtid="{D5CDD505-2E9C-101B-9397-08002B2CF9AE}" pid="41" name="_EmailSubject">
    <vt:lpwstr>Draft documents for review</vt:lpwstr>
  </property>
  <property fmtid="{D5CDD505-2E9C-101B-9397-08002B2CF9AE}" pid="42" name="_AuthorEmail">
    <vt:lpwstr>Sophie.Barclay@pds.govt.nz</vt:lpwstr>
  </property>
  <property fmtid="{D5CDD505-2E9C-101B-9397-08002B2CF9AE}" pid="43" name="_AuthorEmailDisplayName">
    <vt:lpwstr>Barclay, Sophie</vt:lpwstr>
  </property>
</Properties>
</file>